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Museo 700" w:hAnsi="Museo 700"/>
          <w:sz w:val="40"/>
        </w:rPr>
        <w:alias w:val="Policy title"/>
        <w:tag w:val="Policy title"/>
        <w:id w:val="1543555811"/>
        <w:placeholder>
          <w:docPart w:val="D0C1EC0C5ECD40B1A1C0940FC966B19C"/>
        </w:placeholder>
        <w15:color w:val="000000"/>
      </w:sdtPr>
      <w:sdtEndPr>
        <w:rPr>
          <w:rFonts w:ascii="Arial" w:hAnsi="Arial"/>
          <w:sz w:val="22"/>
        </w:rPr>
      </w:sdtEndPr>
      <w:sdtContent>
        <w:p w:rsidR="00594393" w:rsidRPr="004C4740" w:rsidRDefault="009A5546" w:rsidP="00631917">
          <w:pPr>
            <w:spacing w:before="240" w:after="240"/>
            <w:rPr>
              <w:rFonts w:ascii="Museo 700" w:hAnsi="Museo 700"/>
              <w:sz w:val="40"/>
            </w:rPr>
          </w:pPr>
          <w:r w:rsidRPr="00631917">
            <w:rPr>
              <w:rFonts w:ascii="Museo 700" w:hAnsi="Museo 700"/>
              <w:sz w:val="40"/>
            </w:rPr>
            <w:t>Admission and Credit Policy Schedules 1</w:t>
          </w:r>
          <w:r w:rsidR="004C4740">
            <w:rPr>
              <w:rFonts w:ascii="Museo 700" w:hAnsi="Museo 700"/>
              <w:sz w:val="40"/>
            </w:rPr>
            <w:t>-7</w:t>
          </w:r>
        </w:p>
      </w:sdtContent>
    </w:sdt>
    <w:tbl>
      <w:tblPr>
        <w:tblStyle w:val="TableGrid"/>
        <w:tblW w:w="9356" w:type="dxa"/>
        <w:tblInd w:w="-5" w:type="dxa"/>
        <w:tblLook w:val="00A0" w:firstRow="1" w:lastRow="0" w:firstColumn="1" w:lastColumn="0" w:noHBand="0" w:noVBand="0"/>
      </w:tblPr>
      <w:tblGrid>
        <w:gridCol w:w="3821"/>
        <w:gridCol w:w="5535"/>
      </w:tblGrid>
      <w:tr w:rsidR="00631917" w:rsidRPr="00792442" w:rsidTr="002B362F">
        <w:tc>
          <w:tcPr>
            <w:tcW w:w="3821" w:type="dxa"/>
            <w:shd w:val="clear" w:color="auto" w:fill="auto"/>
            <w:vAlign w:val="center"/>
          </w:tcPr>
          <w:p w:rsidR="00631917" w:rsidRPr="008B69ED" w:rsidRDefault="00631917" w:rsidP="002B362F">
            <w:pPr>
              <w:pStyle w:val="TableText"/>
              <w:spacing w:before="60" w:after="60"/>
              <w:rPr>
                <w:b/>
              </w:rPr>
            </w:pPr>
            <w:bookmarkStart w:id="0" w:name="_Hlk525114205"/>
            <w:bookmarkStart w:id="1" w:name="_Toc270076141"/>
            <w:bookmarkStart w:id="2" w:name="_Toc334713096"/>
            <w:bookmarkStart w:id="3" w:name="dommeal8"/>
            <w:r>
              <w:rPr>
                <w:b/>
              </w:rPr>
              <w:t>Authority</w:t>
            </w:r>
          </w:p>
        </w:tc>
        <w:tc>
          <w:tcPr>
            <w:tcW w:w="5535" w:type="dxa"/>
            <w:shd w:val="clear" w:color="auto" w:fill="auto"/>
            <w:vAlign w:val="center"/>
          </w:tcPr>
          <w:p w:rsidR="00631917" w:rsidRPr="009B3FD4" w:rsidRDefault="00631917" w:rsidP="002B362F">
            <w:pPr>
              <w:pStyle w:val="TableText"/>
              <w:spacing w:before="60" w:after="60"/>
              <w:jc w:val="left"/>
            </w:pPr>
            <w:r>
              <w:t>Admission and Credit Policy</w:t>
            </w:r>
          </w:p>
        </w:tc>
      </w:tr>
      <w:tr w:rsidR="00631917" w:rsidRPr="00792442" w:rsidTr="002B362F">
        <w:tc>
          <w:tcPr>
            <w:tcW w:w="3821" w:type="dxa"/>
            <w:shd w:val="clear" w:color="auto" w:fill="auto"/>
            <w:vAlign w:val="center"/>
          </w:tcPr>
          <w:p w:rsidR="00631917" w:rsidRPr="008B69ED" w:rsidRDefault="00631917" w:rsidP="002B362F">
            <w:pPr>
              <w:pStyle w:val="TableText"/>
              <w:spacing w:before="60" w:after="60"/>
              <w:rPr>
                <w:b/>
              </w:rPr>
            </w:pPr>
            <w:r w:rsidRPr="008B69ED">
              <w:rPr>
                <w:b/>
              </w:rPr>
              <w:t>Effective date</w:t>
            </w:r>
          </w:p>
        </w:tc>
        <w:tc>
          <w:tcPr>
            <w:tcW w:w="5535" w:type="dxa"/>
            <w:shd w:val="clear" w:color="auto" w:fill="auto"/>
            <w:vAlign w:val="center"/>
          </w:tcPr>
          <w:p w:rsidR="00631917" w:rsidRPr="009B3FD4" w:rsidRDefault="00F81788" w:rsidP="002B362F">
            <w:pPr>
              <w:pStyle w:val="TableText"/>
              <w:spacing w:before="60" w:after="60"/>
            </w:pPr>
            <w:r>
              <w:t>1 January 2018</w:t>
            </w:r>
          </w:p>
        </w:tc>
      </w:tr>
      <w:tr w:rsidR="00631917" w:rsidRPr="00792442" w:rsidTr="002B362F">
        <w:tc>
          <w:tcPr>
            <w:tcW w:w="3821" w:type="dxa"/>
            <w:shd w:val="clear" w:color="auto" w:fill="auto"/>
            <w:vAlign w:val="center"/>
          </w:tcPr>
          <w:p w:rsidR="00631917" w:rsidRPr="008B69ED" w:rsidRDefault="00631917" w:rsidP="002B362F">
            <w:pPr>
              <w:pStyle w:val="TableText"/>
              <w:spacing w:before="60" w:after="60"/>
              <w:rPr>
                <w:b/>
              </w:rPr>
            </w:pPr>
            <w:r w:rsidRPr="008B69ED">
              <w:rPr>
                <w:b/>
              </w:rPr>
              <w:t>Review date</w:t>
            </w:r>
          </w:p>
        </w:tc>
        <w:tc>
          <w:tcPr>
            <w:tcW w:w="5535" w:type="dxa"/>
            <w:shd w:val="clear" w:color="auto" w:fill="auto"/>
            <w:vAlign w:val="center"/>
          </w:tcPr>
          <w:p w:rsidR="00631917" w:rsidRPr="009B3FD4" w:rsidRDefault="00631917" w:rsidP="002B362F">
            <w:pPr>
              <w:pStyle w:val="TableText"/>
              <w:spacing w:before="60" w:after="60"/>
            </w:pPr>
            <w:r>
              <w:t>5 September 2019</w:t>
            </w:r>
          </w:p>
        </w:tc>
      </w:tr>
      <w:tr w:rsidR="00631917" w:rsidRPr="00792442" w:rsidTr="002B362F">
        <w:tc>
          <w:tcPr>
            <w:tcW w:w="3821" w:type="dxa"/>
            <w:shd w:val="clear" w:color="auto" w:fill="auto"/>
            <w:vAlign w:val="center"/>
          </w:tcPr>
          <w:p w:rsidR="00631917" w:rsidRPr="008B69ED" w:rsidRDefault="00631917" w:rsidP="002B362F">
            <w:pPr>
              <w:pStyle w:val="TableText"/>
              <w:spacing w:before="60" w:after="60"/>
              <w:rPr>
                <w:b/>
              </w:rPr>
            </w:pPr>
            <w:r>
              <w:rPr>
                <w:b/>
              </w:rPr>
              <w:t>O</w:t>
            </w:r>
            <w:r w:rsidRPr="008B69ED">
              <w:rPr>
                <w:b/>
              </w:rPr>
              <w:t>wner</w:t>
            </w:r>
          </w:p>
        </w:tc>
        <w:tc>
          <w:tcPr>
            <w:tcW w:w="5535" w:type="dxa"/>
            <w:shd w:val="clear" w:color="auto" w:fill="auto"/>
            <w:vAlign w:val="center"/>
          </w:tcPr>
          <w:p w:rsidR="00631917" w:rsidRPr="009B3FD4" w:rsidRDefault="00631917" w:rsidP="002B362F">
            <w:pPr>
              <w:pStyle w:val="TableText"/>
              <w:spacing w:before="60" w:after="60"/>
            </w:pPr>
            <w:r>
              <w:t>Deputy Vice-Chancellor Education</w:t>
            </w:r>
          </w:p>
        </w:tc>
      </w:tr>
      <w:tr w:rsidR="00631917" w:rsidRPr="00792442" w:rsidTr="002B362F">
        <w:tc>
          <w:tcPr>
            <w:tcW w:w="3821" w:type="dxa"/>
            <w:shd w:val="clear" w:color="auto" w:fill="auto"/>
            <w:vAlign w:val="center"/>
          </w:tcPr>
          <w:p w:rsidR="00631917" w:rsidRPr="008B69ED" w:rsidRDefault="00631917" w:rsidP="002B362F">
            <w:pPr>
              <w:pStyle w:val="TableText"/>
              <w:spacing w:before="60" w:after="60"/>
              <w:rPr>
                <w:b/>
              </w:rPr>
            </w:pPr>
            <w:r>
              <w:rPr>
                <w:b/>
              </w:rPr>
              <w:t>Author</w:t>
            </w:r>
            <w:r w:rsidRPr="008B69ED">
              <w:rPr>
                <w:b/>
              </w:rPr>
              <w:t xml:space="preserve"> </w:t>
            </w:r>
          </w:p>
        </w:tc>
        <w:tc>
          <w:tcPr>
            <w:tcW w:w="5535" w:type="dxa"/>
            <w:shd w:val="clear" w:color="auto" w:fill="auto"/>
            <w:vAlign w:val="center"/>
          </w:tcPr>
          <w:p w:rsidR="00631917" w:rsidRPr="009B3FD4" w:rsidRDefault="00631917" w:rsidP="002B362F">
            <w:pPr>
              <w:pStyle w:val="TableText"/>
              <w:spacing w:before="60" w:after="60"/>
            </w:pPr>
            <w:r>
              <w:t>Academic Registrar</w:t>
            </w:r>
          </w:p>
        </w:tc>
      </w:tr>
      <w:tr w:rsidR="00631917" w:rsidRPr="00792442" w:rsidTr="002B362F">
        <w:tc>
          <w:tcPr>
            <w:tcW w:w="3821" w:type="dxa"/>
            <w:shd w:val="clear" w:color="auto" w:fill="auto"/>
            <w:vAlign w:val="center"/>
          </w:tcPr>
          <w:p w:rsidR="00631917" w:rsidRPr="008B69ED" w:rsidRDefault="00631917" w:rsidP="002B362F">
            <w:pPr>
              <w:pStyle w:val="TableText"/>
              <w:spacing w:before="60" w:after="60"/>
              <w:rPr>
                <w:b/>
              </w:rPr>
            </w:pPr>
            <w:r w:rsidRPr="008B69ED">
              <w:rPr>
                <w:b/>
              </w:rPr>
              <w:t>Version n</w:t>
            </w:r>
            <w:r>
              <w:rPr>
                <w:b/>
              </w:rPr>
              <w:t>o.</w:t>
            </w:r>
          </w:p>
        </w:tc>
        <w:tc>
          <w:tcPr>
            <w:tcW w:w="5535" w:type="dxa"/>
            <w:shd w:val="clear" w:color="auto" w:fill="auto"/>
            <w:vAlign w:val="center"/>
          </w:tcPr>
          <w:p w:rsidR="00631917" w:rsidRPr="009B3FD4" w:rsidRDefault="00631917" w:rsidP="002B362F">
            <w:pPr>
              <w:pStyle w:val="TableText"/>
              <w:spacing w:before="60" w:after="60"/>
            </w:pPr>
            <w:r>
              <w:t>1.</w:t>
            </w:r>
            <w:r w:rsidR="00913DF8">
              <w:t>4</w:t>
            </w:r>
          </w:p>
        </w:tc>
      </w:tr>
      <w:tr w:rsidR="00631917" w:rsidRPr="00792442" w:rsidTr="002B362F">
        <w:tc>
          <w:tcPr>
            <w:tcW w:w="3821" w:type="dxa"/>
            <w:shd w:val="clear" w:color="auto" w:fill="auto"/>
            <w:vAlign w:val="center"/>
          </w:tcPr>
          <w:p w:rsidR="00631917" w:rsidRPr="008B69ED" w:rsidRDefault="00631917" w:rsidP="002B362F">
            <w:pPr>
              <w:pStyle w:val="TableText"/>
              <w:spacing w:before="60" w:after="60"/>
              <w:rPr>
                <w:b/>
              </w:rPr>
            </w:pPr>
            <w:r w:rsidRPr="008B69ED">
              <w:rPr>
                <w:b/>
              </w:rPr>
              <w:t>Contact</w:t>
            </w:r>
          </w:p>
        </w:tc>
        <w:tc>
          <w:tcPr>
            <w:tcW w:w="5535" w:type="dxa"/>
            <w:shd w:val="clear" w:color="auto" w:fill="auto"/>
            <w:vAlign w:val="center"/>
          </w:tcPr>
          <w:p w:rsidR="00631917" w:rsidRPr="009B3FD4" w:rsidRDefault="00631917" w:rsidP="002B362F">
            <w:pPr>
              <w:pStyle w:val="TableText"/>
              <w:spacing w:before="60" w:after="60"/>
            </w:pPr>
            <w:r>
              <w:t>academic.policy@rmit.edu.au</w:t>
            </w:r>
          </w:p>
        </w:tc>
      </w:tr>
      <w:tr w:rsidR="00631917" w:rsidRPr="00792442" w:rsidTr="002B362F">
        <w:tc>
          <w:tcPr>
            <w:tcW w:w="3821" w:type="dxa"/>
            <w:shd w:val="clear" w:color="auto" w:fill="auto"/>
            <w:vAlign w:val="center"/>
          </w:tcPr>
          <w:p w:rsidR="00631917" w:rsidRPr="008B69ED" w:rsidRDefault="00631917" w:rsidP="002B362F">
            <w:pPr>
              <w:pStyle w:val="TableText"/>
              <w:spacing w:before="60" w:after="60"/>
              <w:rPr>
                <w:b/>
              </w:rPr>
            </w:pPr>
            <w:r w:rsidRPr="008B69ED">
              <w:rPr>
                <w:b/>
              </w:rPr>
              <w:t>Register reference</w:t>
            </w:r>
          </w:p>
        </w:tc>
        <w:tc>
          <w:tcPr>
            <w:tcW w:w="5535" w:type="dxa"/>
            <w:shd w:val="clear" w:color="auto" w:fill="auto"/>
            <w:vAlign w:val="center"/>
          </w:tcPr>
          <w:p w:rsidR="00631917" w:rsidRPr="009B3FD4" w:rsidRDefault="00631917" w:rsidP="002B362F">
            <w:pPr>
              <w:pStyle w:val="TableText"/>
              <w:spacing w:before="60" w:after="60"/>
            </w:pPr>
            <w:r>
              <w:t>POL/2018/00070[V</w:t>
            </w:r>
            <w:r w:rsidR="002579F1">
              <w:t>5</w:t>
            </w:r>
            <w:r>
              <w:t>]</w:t>
            </w:r>
          </w:p>
        </w:tc>
      </w:tr>
    </w:tbl>
    <w:p w:rsidR="00631917" w:rsidRDefault="00631917" w:rsidP="00631917">
      <w:pPr>
        <w:pStyle w:val="Policybodytext"/>
      </w:pPr>
    </w:p>
    <w:p w:rsidR="00631917" w:rsidRDefault="00631917">
      <w:pPr>
        <w:rPr>
          <w:rFonts w:ascii="Museo 300" w:hAnsi="Museo 300" w:cs="Helvetica"/>
          <w:sz w:val="32"/>
          <w:szCs w:val="32"/>
        </w:rPr>
      </w:pPr>
      <w:r>
        <w:rPr>
          <w:rFonts w:ascii="Museo 300" w:hAnsi="Museo 300" w:cs="Helvetica"/>
          <w:sz w:val="32"/>
          <w:szCs w:val="32"/>
        </w:rPr>
        <w:t>Explanatory statement</w:t>
      </w:r>
    </w:p>
    <w:p w:rsidR="00631917" w:rsidRDefault="00631917" w:rsidP="00631917">
      <w:pPr>
        <w:pStyle w:val="Policybodytext"/>
      </w:pPr>
      <w:r>
        <w:t>These schedules are made pursuant to cl. 1.1 of the RMIT Admission and Credit Policy.</w:t>
      </w:r>
    </w:p>
    <w:p w:rsidR="00631917" w:rsidRDefault="00631917" w:rsidP="00631917">
      <w:pPr>
        <w:pStyle w:val="Policyheading"/>
      </w:pPr>
      <w:bookmarkStart w:id="4" w:name="_Toc26441178"/>
      <w:r>
        <w:t>Contents</w:t>
      </w:r>
      <w:bookmarkEnd w:id="4"/>
    </w:p>
    <w:sdt>
      <w:sdtPr>
        <w:id w:val="119742717"/>
        <w:docPartObj>
          <w:docPartGallery w:val="Table of Contents"/>
          <w:docPartUnique/>
        </w:docPartObj>
      </w:sdtPr>
      <w:sdtEndPr>
        <w:rPr>
          <w:b/>
          <w:bCs/>
          <w:noProof/>
        </w:rPr>
      </w:sdtEndPr>
      <w:sdtContent>
        <w:p w:rsidR="00631917" w:rsidRPr="00631917" w:rsidRDefault="00631917">
          <w:pPr>
            <w:pStyle w:val="TOC1"/>
            <w:tabs>
              <w:tab w:val="right" w:leader="dot" w:pos="9014"/>
            </w:tabs>
            <w:rPr>
              <w:rFonts w:ascii="HelveticaNeueLT Pro 45 Lt" w:eastAsiaTheme="minorEastAsia" w:hAnsi="HelveticaNeueLT Pro 45 Lt" w:cstheme="minorBidi"/>
              <w:noProof/>
              <w:sz w:val="20"/>
              <w:szCs w:val="20"/>
            </w:rPr>
          </w:pPr>
          <w:r>
            <w:fldChar w:fldCharType="begin"/>
          </w:r>
          <w:r>
            <w:instrText xml:space="preserve"> TOC \o "1-3" \h \z \u </w:instrText>
          </w:r>
          <w:r>
            <w:fldChar w:fldCharType="separate"/>
          </w:r>
          <w:hyperlink w:anchor="_Toc26441179" w:history="1">
            <w:r w:rsidRPr="00631917">
              <w:rPr>
                <w:rStyle w:val="Hyperlink"/>
                <w:rFonts w:ascii="HelveticaNeueLT Pro 45 Lt" w:hAnsi="HelveticaNeueLT Pro 45 Lt"/>
                <w:noProof/>
                <w:sz w:val="20"/>
                <w:szCs w:val="20"/>
              </w:rPr>
              <w:t>Schedule 1 - Minimum Age Requirements</w:t>
            </w:r>
            <w:r w:rsidRPr="00631917">
              <w:rPr>
                <w:rFonts w:ascii="HelveticaNeueLT Pro 45 Lt" w:hAnsi="HelveticaNeueLT Pro 45 Lt"/>
                <w:noProof/>
                <w:webHidden/>
                <w:sz w:val="20"/>
                <w:szCs w:val="20"/>
              </w:rPr>
              <w:tab/>
            </w:r>
            <w:r w:rsidRPr="00631917">
              <w:rPr>
                <w:rFonts w:ascii="HelveticaNeueLT Pro 45 Lt" w:hAnsi="HelveticaNeueLT Pro 45 Lt"/>
                <w:noProof/>
                <w:webHidden/>
                <w:sz w:val="20"/>
                <w:szCs w:val="20"/>
              </w:rPr>
              <w:fldChar w:fldCharType="begin"/>
            </w:r>
            <w:r w:rsidRPr="00631917">
              <w:rPr>
                <w:rFonts w:ascii="HelveticaNeueLT Pro 45 Lt" w:hAnsi="HelveticaNeueLT Pro 45 Lt"/>
                <w:noProof/>
                <w:webHidden/>
                <w:sz w:val="20"/>
                <w:szCs w:val="20"/>
              </w:rPr>
              <w:instrText xml:space="preserve"> PAGEREF _Toc26441179 \h </w:instrText>
            </w:r>
            <w:r w:rsidRPr="00631917">
              <w:rPr>
                <w:rFonts w:ascii="HelveticaNeueLT Pro 45 Lt" w:hAnsi="HelveticaNeueLT Pro 45 Lt"/>
                <w:noProof/>
                <w:webHidden/>
                <w:sz w:val="20"/>
                <w:szCs w:val="20"/>
              </w:rPr>
            </w:r>
            <w:r w:rsidRPr="00631917">
              <w:rPr>
                <w:rFonts w:ascii="HelveticaNeueLT Pro 45 Lt" w:hAnsi="HelveticaNeueLT Pro 45 Lt"/>
                <w:noProof/>
                <w:webHidden/>
                <w:sz w:val="20"/>
                <w:szCs w:val="20"/>
              </w:rPr>
              <w:fldChar w:fldCharType="separate"/>
            </w:r>
            <w:r w:rsidRPr="00631917">
              <w:rPr>
                <w:rFonts w:ascii="HelveticaNeueLT Pro 45 Lt" w:hAnsi="HelveticaNeueLT Pro 45 Lt"/>
                <w:noProof/>
                <w:webHidden/>
                <w:sz w:val="20"/>
                <w:szCs w:val="20"/>
              </w:rPr>
              <w:t>2</w:t>
            </w:r>
            <w:r w:rsidRPr="00631917">
              <w:rPr>
                <w:rFonts w:ascii="HelveticaNeueLT Pro 45 Lt" w:hAnsi="HelveticaNeueLT Pro 45 Lt"/>
                <w:noProof/>
                <w:webHidden/>
                <w:sz w:val="20"/>
                <w:szCs w:val="20"/>
              </w:rPr>
              <w:fldChar w:fldCharType="end"/>
            </w:r>
          </w:hyperlink>
        </w:p>
        <w:p w:rsidR="00631917" w:rsidRPr="00631917" w:rsidRDefault="00BD3594">
          <w:pPr>
            <w:pStyle w:val="TOC1"/>
            <w:tabs>
              <w:tab w:val="right" w:leader="dot" w:pos="9014"/>
            </w:tabs>
            <w:rPr>
              <w:rFonts w:ascii="HelveticaNeueLT Pro 45 Lt" w:eastAsiaTheme="minorEastAsia" w:hAnsi="HelveticaNeueLT Pro 45 Lt" w:cstheme="minorBidi"/>
              <w:noProof/>
              <w:sz w:val="20"/>
              <w:szCs w:val="20"/>
            </w:rPr>
          </w:pPr>
          <w:hyperlink w:anchor="_Toc26441180" w:history="1">
            <w:r w:rsidR="00631917" w:rsidRPr="00631917">
              <w:rPr>
                <w:rStyle w:val="Hyperlink"/>
                <w:rFonts w:ascii="HelveticaNeueLT Pro 45 Lt" w:hAnsi="HelveticaNeueLT Pro 45 Lt"/>
                <w:noProof/>
                <w:sz w:val="20"/>
                <w:szCs w:val="20"/>
              </w:rPr>
              <w:t>Schedule 2 - Minimum English Language Entry Requirements</w:t>
            </w:r>
            <w:r w:rsidR="00631917" w:rsidRPr="00631917">
              <w:rPr>
                <w:rFonts w:ascii="HelveticaNeueLT Pro 45 Lt" w:hAnsi="HelveticaNeueLT Pro 45 Lt"/>
                <w:noProof/>
                <w:webHidden/>
                <w:sz w:val="20"/>
                <w:szCs w:val="20"/>
              </w:rPr>
              <w:tab/>
            </w:r>
            <w:r w:rsidR="00631917" w:rsidRPr="00631917">
              <w:rPr>
                <w:rFonts w:ascii="HelveticaNeueLT Pro 45 Lt" w:hAnsi="HelveticaNeueLT Pro 45 Lt"/>
                <w:noProof/>
                <w:webHidden/>
                <w:sz w:val="20"/>
                <w:szCs w:val="20"/>
              </w:rPr>
              <w:fldChar w:fldCharType="begin"/>
            </w:r>
            <w:r w:rsidR="00631917" w:rsidRPr="00631917">
              <w:rPr>
                <w:rFonts w:ascii="HelveticaNeueLT Pro 45 Lt" w:hAnsi="HelveticaNeueLT Pro 45 Lt"/>
                <w:noProof/>
                <w:webHidden/>
                <w:sz w:val="20"/>
                <w:szCs w:val="20"/>
              </w:rPr>
              <w:instrText xml:space="preserve"> PAGEREF _Toc26441180 \h </w:instrText>
            </w:r>
            <w:r w:rsidR="00631917" w:rsidRPr="00631917">
              <w:rPr>
                <w:rFonts w:ascii="HelveticaNeueLT Pro 45 Lt" w:hAnsi="HelveticaNeueLT Pro 45 Lt"/>
                <w:noProof/>
                <w:webHidden/>
                <w:sz w:val="20"/>
                <w:szCs w:val="20"/>
              </w:rPr>
            </w:r>
            <w:r w:rsidR="00631917" w:rsidRPr="00631917">
              <w:rPr>
                <w:rFonts w:ascii="HelveticaNeueLT Pro 45 Lt" w:hAnsi="HelveticaNeueLT Pro 45 Lt"/>
                <w:noProof/>
                <w:webHidden/>
                <w:sz w:val="20"/>
                <w:szCs w:val="20"/>
              </w:rPr>
              <w:fldChar w:fldCharType="separate"/>
            </w:r>
            <w:r w:rsidR="00631917" w:rsidRPr="00631917">
              <w:rPr>
                <w:rFonts w:ascii="HelveticaNeueLT Pro 45 Lt" w:hAnsi="HelveticaNeueLT Pro 45 Lt"/>
                <w:noProof/>
                <w:webHidden/>
                <w:sz w:val="20"/>
                <w:szCs w:val="20"/>
              </w:rPr>
              <w:t>3</w:t>
            </w:r>
            <w:r w:rsidR="00631917" w:rsidRPr="00631917">
              <w:rPr>
                <w:rFonts w:ascii="HelveticaNeueLT Pro 45 Lt" w:hAnsi="HelveticaNeueLT Pro 45 Lt"/>
                <w:noProof/>
                <w:webHidden/>
                <w:sz w:val="20"/>
                <w:szCs w:val="20"/>
              </w:rPr>
              <w:fldChar w:fldCharType="end"/>
            </w:r>
          </w:hyperlink>
        </w:p>
        <w:p w:rsidR="00631917" w:rsidRPr="00631917" w:rsidRDefault="00BD3594">
          <w:pPr>
            <w:pStyle w:val="TOC1"/>
            <w:tabs>
              <w:tab w:val="right" w:leader="dot" w:pos="9014"/>
            </w:tabs>
            <w:rPr>
              <w:rFonts w:ascii="HelveticaNeueLT Pro 45 Lt" w:eastAsiaTheme="minorEastAsia" w:hAnsi="HelveticaNeueLT Pro 45 Lt" w:cstheme="minorBidi"/>
              <w:noProof/>
              <w:sz w:val="20"/>
              <w:szCs w:val="20"/>
            </w:rPr>
          </w:pPr>
          <w:hyperlink w:anchor="_Toc26441181" w:history="1">
            <w:r w:rsidR="00631917" w:rsidRPr="00631917">
              <w:rPr>
                <w:rStyle w:val="Hyperlink"/>
                <w:rFonts w:ascii="HelveticaNeueLT Pro 45 Lt" w:hAnsi="HelveticaNeueLT Pro 45 Lt"/>
                <w:noProof/>
                <w:sz w:val="20"/>
                <w:szCs w:val="20"/>
              </w:rPr>
              <w:t>Schedule 3 – Minimum Academic Entry Requirements for Preparatory Programs</w:t>
            </w:r>
            <w:r w:rsidR="00631917" w:rsidRPr="00631917">
              <w:rPr>
                <w:rFonts w:ascii="HelveticaNeueLT Pro 45 Lt" w:hAnsi="HelveticaNeueLT Pro 45 Lt"/>
                <w:noProof/>
                <w:webHidden/>
                <w:sz w:val="20"/>
                <w:szCs w:val="20"/>
              </w:rPr>
              <w:tab/>
            </w:r>
            <w:r w:rsidR="00631917" w:rsidRPr="00631917">
              <w:rPr>
                <w:rFonts w:ascii="HelveticaNeueLT Pro 45 Lt" w:hAnsi="HelveticaNeueLT Pro 45 Lt"/>
                <w:noProof/>
                <w:webHidden/>
                <w:sz w:val="20"/>
                <w:szCs w:val="20"/>
              </w:rPr>
              <w:fldChar w:fldCharType="begin"/>
            </w:r>
            <w:r w:rsidR="00631917" w:rsidRPr="00631917">
              <w:rPr>
                <w:rFonts w:ascii="HelveticaNeueLT Pro 45 Lt" w:hAnsi="HelveticaNeueLT Pro 45 Lt"/>
                <w:noProof/>
                <w:webHidden/>
                <w:sz w:val="20"/>
                <w:szCs w:val="20"/>
              </w:rPr>
              <w:instrText xml:space="preserve"> PAGEREF _Toc26441181 \h </w:instrText>
            </w:r>
            <w:r w:rsidR="00631917" w:rsidRPr="00631917">
              <w:rPr>
                <w:rFonts w:ascii="HelveticaNeueLT Pro 45 Lt" w:hAnsi="HelveticaNeueLT Pro 45 Lt"/>
                <w:noProof/>
                <w:webHidden/>
                <w:sz w:val="20"/>
                <w:szCs w:val="20"/>
              </w:rPr>
            </w:r>
            <w:r w:rsidR="00631917" w:rsidRPr="00631917">
              <w:rPr>
                <w:rFonts w:ascii="HelveticaNeueLT Pro 45 Lt" w:hAnsi="HelveticaNeueLT Pro 45 Lt"/>
                <w:noProof/>
                <w:webHidden/>
                <w:sz w:val="20"/>
                <w:szCs w:val="20"/>
              </w:rPr>
              <w:fldChar w:fldCharType="separate"/>
            </w:r>
            <w:r w:rsidR="00631917" w:rsidRPr="00631917">
              <w:rPr>
                <w:rFonts w:ascii="HelveticaNeueLT Pro 45 Lt" w:hAnsi="HelveticaNeueLT Pro 45 Lt"/>
                <w:noProof/>
                <w:webHidden/>
                <w:sz w:val="20"/>
                <w:szCs w:val="20"/>
              </w:rPr>
              <w:t>7</w:t>
            </w:r>
            <w:r w:rsidR="00631917" w:rsidRPr="00631917">
              <w:rPr>
                <w:rFonts w:ascii="HelveticaNeueLT Pro 45 Lt" w:hAnsi="HelveticaNeueLT Pro 45 Lt"/>
                <w:noProof/>
                <w:webHidden/>
                <w:sz w:val="20"/>
                <w:szCs w:val="20"/>
              </w:rPr>
              <w:fldChar w:fldCharType="end"/>
            </w:r>
          </w:hyperlink>
        </w:p>
        <w:p w:rsidR="00631917" w:rsidRPr="00631917" w:rsidRDefault="00BD3594">
          <w:pPr>
            <w:pStyle w:val="TOC1"/>
            <w:tabs>
              <w:tab w:val="right" w:leader="dot" w:pos="9014"/>
            </w:tabs>
            <w:rPr>
              <w:rFonts w:ascii="HelveticaNeueLT Pro 45 Lt" w:eastAsiaTheme="minorEastAsia" w:hAnsi="HelveticaNeueLT Pro 45 Lt" w:cstheme="minorBidi"/>
              <w:noProof/>
              <w:sz w:val="20"/>
              <w:szCs w:val="20"/>
            </w:rPr>
          </w:pPr>
          <w:hyperlink w:anchor="_Toc26441182" w:history="1">
            <w:r w:rsidR="00631917" w:rsidRPr="00631917">
              <w:rPr>
                <w:rStyle w:val="Hyperlink"/>
                <w:rFonts w:ascii="HelveticaNeueLT Pro 45 Lt" w:hAnsi="HelveticaNeueLT Pro 45 Lt"/>
                <w:noProof/>
                <w:sz w:val="20"/>
                <w:szCs w:val="20"/>
              </w:rPr>
              <w:t>Schedule 4 - Minimum Academic Entry Requirements for Vocational Education Programs</w:t>
            </w:r>
            <w:r w:rsidR="00631917" w:rsidRPr="00631917">
              <w:rPr>
                <w:rFonts w:ascii="HelveticaNeueLT Pro 45 Lt" w:hAnsi="HelveticaNeueLT Pro 45 Lt"/>
                <w:noProof/>
                <w:webHidden/>
                <w:sz w:val="20"/>
                <w:szCs w:val="20"/>
              </w:rPr>
              <w:tab/>
            </w:r>
            <w:r w:rsidR="00631917" w:rsidRPr="00631917">
              <w:rPr>
                <w:rFonts w:ascii="HelveticaNeueLT Pro 45 Lt" w:hAnsi="HelveticaNeueLT Pro 45 Lt"/>
                <w:noProof/>
                <w:webHidden/>
                <w:sz w:val="20"/>
                <w:szCs w:val="20"/>
              </w:rPr>
              <w:fldChar w:fldCharType="begin"/>
            </w:r>
            <w:r w:rsidR="00631917" w:rsidRPr="00631917">
              <w:rPr>
                <w:rFonts w:ascii="HelveticaNeueLT Pro 45 Lt" w:hAnsi="HelveticaNeueLT Pro 45 Lt"/>
                <w:noProof/>
                <w:webHidden/>
                <w:sz w:val="20"/>
                <w:szCs w:val="20"/>
              </w:rPr>
              <w:instrText xml:space="preserve"> PAGEREF _Toc26441182 \h </w:instrText>
            </w:r>
            <w:r w:rsidR="00631917" w:rsidRPr="00631917">
              <w:rPr>
                <w:rFonts w:ascii="HelveticaNeueLT Pro 45 Lt" w:hAnsi="HelveticaNeueLT Pro 45 Lt"/>
                <w:noProof/>
                <w:webHidden/>
                <w:sz w:val="20"/>
                <w:szCs w:val="20"/>
              </w:rPr>
            </w:r>
            <w:r w:rsidR="00631917" w:rsidRPr="00631917">
              <w:rPr>
                <w:rFonts w:ascii="HelveticaNeueLT Pro 45 Lt" w:hAnsi="HelveticaNeueLT Pro 45 Lt"/>
                <w:noProof/>
                <w:webHidden/>
                <w:sz w:val="20"/>
                <w:szCs w:val="20"/>
              </w:rPr>
              <w:fldChar w:fldCharType="separate"/>
            </w:r>
            <w:r w:rsidR="00631917" w:rsidRPr="00631917">
              <w:rPr>
                <w:rFonts w:ascii="HelveticaNeueLT Pro 45 Lt" w:hAnsi="HelveticaNeueLT Pro 45 Lt"/>
                <w:noProof/>
                <w:webHidden/>
                <w:sz w:val="20"/>
                <w:szCs w:val="20"/>
              </w:rPr>
              <w:t>8</w:t>
            </w:r>
            <w:r w:rsidR="00631917" w:rsidRPr="00631917">
              <w:rPr>
                <w:rFonts w:ascii="HelveticaNeueLT Pro 45 Lt" w:hAnsi="HelveticaNeueLT Pro 45 Lt"/>
                <w:noProof/>
                <w:webHidden/>
                <w:sz w:val="20"/>
                <w:szCs w:val="20"/>
              </w:rPr>
              <w:fldChar w:fldCharType="end"/>
            </w:r>
          </w:hyperlink>
        </w:p>
        <w:p w:rsidR="00631917" w:rsidRPr="00631917" w:rsidRDefault="00BD3594">
          <w:pPr>
            <w:pStyle w:val="TOC1"/>
            <w:tabs>
              <w:tab w:val="right" w:leader="dot" w:pos="9014"/>
            </w:tabs>
            <w:rPr>
              <w:rFonts w:ascii="HelveticaNeueLT Pro 45 Lt" w:eastAsiaTheme="minorEastAsia" w:hAnsi="HelveticaNeueLT Pro 45 Lt" w:cstheme="minorBidi"/>
              <w:noProof/>
              <w:sz w:val="20"/>
              <w:szCs w:val="20"/>
            </w:rPr>
          </w:pPr>
          <w:hyperlink w:anchor="_Toc26441183" w:history="1">
            <w:r w:rsidR="00631917" w:rsidRPr="00631917">
              <w:rPr>
                <w:rStyle w:val="Hyperlink"/>
                <w:rFonts w:ascii="HelveticaNeueLT Pro 45 Lt" w:hAnsi="HelveticaNeueLT Pro 45 Lt"/>
                <w:noProof/>
                <w:sz w:val="20"/>
                <w:szCs w:val="20"/>
              </w:rPr>
              <w:t>Schedule 5 - Minimum Academic Entry Requirements for Undergraduate Programs</w:t>
            </w:r>
            <w:r w:rsidR="00631917" w:rsidRPr="00631917">
              <w:rPr>
                <w:rFonts w:ascii="HelveticaNeueLT Pro 45 Lt" w:hAnsi="HelveticaNeueLT Pro 45 Lt"/>
                <w:noProof/>
                <w:webHidden/>
                <w:sz w:val="20"/>
                <w:szCs w:val="20"/>
              </w:rPr>
              <w:tab/>
            </w:r>
            <w:r w:rsidR="00631917" w:rsidRPr="00631917">
              <w:rPr>
                <w:rFonts w:ascii="HelveticaNeueLT Pro 45 Lt" w:hAnsi="HelveticaNeueLT Pro 45 Lt"/>
                <w:noProof/>
                <w:webHidden/>
                <w:sz w:val="20"/>
                <w:szCs w:val="20"/>
              </w:rPr>
              <w:fldChar w:fldCharType="begin"/>
            </w:r>
            <w:r w:rsidR="00631917" w:rsidRPr="00631917">
              <w:rPr>
                <w:rFonts w:ascii="HelveticaNeueLT Pro 45 Lt" w:hAnsi="HelveticaNeueLT Pro 45 Lt"/>
                <w:noProof/>
                <w:webHidden/>
                <w:sz w:val="20"/>
                <w:szCs w:val="20"/>
              </w:rPr>
              <w:instrText xml:space="preserve"> PAGEREF _Toc26441183 \h </w:instrText>
            </w:r>
            <w:r w:rsidR="00631917" w:rsidRPr="00631917">
              <w:rPr>
                <w:rFonts w:ascii="HelveticaNeueLT Pro 45 Lt" w:hAnsi="HelveticaNeueLT Pro 45 Lt"/>
                <w:noProof/>
                <w:webHidden/>
                <w:sz w:val="20"/>
                <w:szCs w:val="20"/>
              </w:rPr>
            </w:r>
            <w:r w:rsidR="00631917" w:rsidRPr="00631917">
              <w:rPr>
                <w:rFonts w:ascii="HelveticaNeueLT Pro 45 Lt" w:hAnsi="HelveticaNeueLT Pro 45 Lt"/>
                <w:noProof/>
                <w:webHidden/>
                <w:sz w:val="20"/>
                <w:szCs w:val="20"/>
              </w:rPr>
              <w:fldChar w:fldCharType="separate"/>
            </w:r>
            <w:r w:rsidR="00631917" w:rsidRPr="00631917">
              <w:rPr>
                <w:rFonts w:ascii="HelveticaNeueLT Pro 45 Lt" w:hAnsi="HelveticaNeueLT Pro 45 Lt"/>
                <w:noProof/>
                <w:webHidden/>
                <w:sz w:val="20"/>
                <w:szCs w:val="20"/>
              </w:rPr>
              <w:t>9</w:t>
            </w:r>
            <w:r w:rsidR="00631917" w:rsidRPr="00631917">
              <w:rPr>
                <w:rFonts w:ascii="HelveticaNeueLT Pro 45 Lt" w:hAnsi="HelveticaNeueLT Pro 45 Lt"/>
                <w:noProof/>
                <w:webHidden/>
                <w:sz w:val="20"/>
                <w:szCs w:val="20"/>
              </w:rPr>
              <w:fldChar w:fldCharType="end"/>
            </w:r>
          </w:hyperlink>
        </w:p>
        <w:p w:rsidR="00631917" w:rsidRPr="00631917" w:rsidRDefault="00BD3594">
          <w:pPr>
            <w:pStyle w:val="TOC1"/>
            <w:tabs>
              <w:tab w:val="right" w:leader="dot" w:pos="9014"/>
            </w:tabs>
            <w:rPr>
              <w:rFonts w:ascii="HelveticaNeueLT Pro 45 Lt" w:eastAsiaTheme="minorEastAsia" w:hAnsi="HelveticaNeueLT Pro 45 Lt" w:cstheme="minorBidi"/>
              <w:noProof/>
              <w:sz w:val="20"/>
              <w:szCs w:val="20"/>
            </w:rPr>
          </w:pPr>
          <w:hyperlink w:anchor="_Toc26441184" w:history="1">
            <w:r w:rsidR="00631917" w:rsidRPr="00631917">
              <w:rPr>
                <w:rStyle w:val="Hyperlink"/>
                <w:rFonts w:ascii="HelveticaNeueLT Pro 45 Lt" w:hAnsi="HelveticaNeueLT Pro 45 Lt"/>
                <w:noProof/>
                <w:sz w:val="20"/>
                <w:szCs w:val="20"/>
              </w:rPr>
              <w:t>Schedule 6 - Minimum Academic Entry Requirements for Postgraduate Coursework Programs</w:t>
            </w:r>
            <w:r w:rsidR="00631917" w:rsidRPr="00631917">
              <w:rPr>
                <w:rFonts w:ascii="HelveticaNeueLT Pro 45 Lt" w:hAnsi="HelveticaNeueLT Pro 45 Lt"/>
                <w:noProof/>
                <w:webHidden/>
                <w:sz w:val="20"/>
                <w:szCs w:val="20"/>
              </w:rPr>
              <w:tab/>
            </w:r>
            <w:r w:rsidR="00631917" w:rsidRPr="00631917">
              <w:rPr>
                <w:rFonts w:ascii="HelveticaNeueLT Pro 45 Lt" w:hAnsi="HelveticaNeueLT Pro 45 Lt"/>
                <w:noProof/>
                <w:webHidden/>
                <w:sz w:val="20"/>
                <w:szCs w:val="20"/>
              </w:rPr>
              <w:fldChar w:fldCharType="begin"/>
            </w:r>
            <w:r w:rsidR="00631917" w:rsidRPr="00631917">
              <w:rPr>
                <w:rFonts w:ascii="HelveticaNeueLT Pro 45 Lt" w:hAnsi="HelveticaNeueLT Pro 45 Lt"/>
                <w:noProof/>
                <w:webHidden/>
                <w:sz w:val="20"/>
                <w:szCs w:val="20"/>
              </w:rPr>
              <w:instrText xml:space="preserve"> PAGEREF _Toc26441184 \h </w:instrText>
            </w:r>
            <w:r w:rsidR="00631917" w:rsidRPr="00631917">
              <w:rPr>
                <w:rFonts w:ascii="HelveticaNeueLT Pro 45 Lt" w:hAnsi="HelveticaNeueLT Pro 45 Lt"/>
                <w:noProof/>
                <w:webHidden/>
                <w:sz w:val="20"/>
                <w:szCs w:val="20"/>
              </w:rPr>
            </w:r>
            <w:r w:rsidR="00631917" w:rsidRPr="00631917">
              <w:rPr>
                <w:rFonts w:ascii="HelveticaNeueLT Pro 45 Lt" w:hAnsi="HelveticaNeueLT Pro 45 Lt"/>
                <w:noProof/>
                <w:webHidden/>
                <w:sz w:val="20"/>
                <w:szCs w:val="20"/>
              </w:rPr>
              <w:fldChar w:fldCharType="separate"/>
            </w:r>
            <w:r w:rsidR="00631917" w:rsidRPr="00631917">
              <w:rPr>
                <w:rFonts w:ascii="HelveticaNeueLT Pro 45 Lt" w:hAnsi="HelveticaNeueLT Pro 45 Lt"/>
                <w:noProof/>
                <w:webHidden/>
                <w:sz w:val="20"/>
                <w:szCs w:val="20"/>
              </w:rPr>
              <w:t>11</w:t>
            </w:r>
            <w:r w:rsidR="00631917" w:rsidRPr="00631917">
              <w:rPr>
                <w:rFonts w:ascii="HelveticaNeueLT Pro 45 Lt" w:hAnsi="HelveticaNeueLT Pro 45 Lt"/>
                <w:noProof/>
                <w:webHidden/>
                <w:sz w:val="20"/>
                <w:szCs w:val="20"/>
              </w:rPr>
              <w:fldChar w:fldCharType="end"/>
            </w:r>
          </w:hyperlink>
        </w:p>
        <w:p w:rsidR="00631917" w:rsidRDefault="00BD3594">
          <w:pPr>
            <w:pStyle w:val="TOC1"/>
            <w:tabs>
              <w:tab w:val="right" w:leader="dot" w:pos="9014"/>
            </w:tabs>
            <w:rPr>
              <w:rFonts w:asciiTheme="minorHAnsi" w:eastAsiaTheme="minorEastAsia" w:hAnsiTheme="minorHAnsi" w:cstheme="minorBidi"/>
              <w:noProof/>
              <w:szCs w:val="22"/>
            </w:rPr>
          </w:pPr>
          <w:hyperlink w:anchor="_Toc26441185" w:history="1">
            <w:r w:rsidR="00631917" w:rsidRPr="00631917">
              <w:rPr>
                <w:rStyle w:val="Hyperlink"/>
                <w:rFonts w:ascii="HelveticaNeueLT Pro 45 Lt" w:hAnsi="HelveticaNeueLT Pro 45 Lt"/>
                <w:noProof/>
                <w:sz w:val="20"/>
                <w:szCs w:val="20"/>
              </w:rPr>
              <w:t>Schedule 7 - Minimum Academic Entry Requirements for Higher Degree by Research Programs</w:t>
            </w:r>
            <w:r w:rsidR="00631917" w:rsidRPr="00631917">
              <w:rPr>
                <w:rFonts w:ascii="HelveticaNeueLT Pro 45 Lt" w:hAnsi="HelveticaNeueLT Pro 45 Lt"/>
                <w:noProof/>
                <w:webHidden/>
                <w:sz w:val="20"/>
                <w:szCs w:val="20"/>
              </w:rPr>
              <w:tab/>
            </w:r>
            <w:r w:rsidR="00631917" w:rsidRPr="00631917">
              <w:rPr>
                <w:rFonts w:ascii="HelveticaNeueLT Pro 45 Lt" w:hAnsi="HelveticaNeueLT Pro 45 Lt"/>
                <w:noProof/>
                <w:webHidden/>
                <w:sz w:val="20"/>
                <w:szCs w:val="20"/>
              </w:rPr>
              <w:fldChar w:fldCharType="begin"/>
            </w:r>
            <w:r w:rsidR="00631917" w:rsidRPr="00631917">
              <w:rPr>
                <w:rFonts w:ascii="HelveticaNeueLT Pro 45 Lt" w:hAnsi="HelveticaNeueLT Pro 45 Lt"/>
                <w:noProof/>
                <w:webHidden/>
                <w:sz w:val="20"/>
                <w:szCs w:val="20"/>
              </w:rPr>
              <w:instrText xml:space="preserve"> PAGEREF _Toc26441185 \h </w:instrText>
            </w:r>
            <w:r w:rsidR="00631917" w:rsidRPr="00631917">
              <w:rPr>
                <w:rFonts w:ascii="HelveticaNeueLT Pro 45 Lt" w:hAnsi="HelveticaNeueLT Pro 45 Lt"/>
                <w:noProof/>
                <w:webHidden/>
                <w:sz w:val="20"/>
                <w:szCs w:val="20"/>
              </w:rPr>
            </w:r>
            <w:r w:rsidR="00631917" w:rsidRPr="00631917">
              <w:rPr>
                <w:rFonts w:ascii="HelveticaNeueLT Pro 45 Lt" w:hAnsi="HelveticaNeueLT Pro 45 Lt"/>
                <w:noProof/>
                <w:webHidden/>
                <w:sz w:val="20"/>
                <w:szCs w:val="20"/>
              </w:rPr>
              <w:fldChar w:fldCharType="separate"/>
            </w:r>
            <w:r w:rsidR="00631917" w:rsidRPr="00631917">
              <w:rPr>
                <w:rFonts w:ascii="HelveticaNeueLT Pro 45 Lt" w:hAnsi="HelveticaNeueLT Pro 45 Lt"/>
                <w:noProof/>
                <w:webHidden/>
                <w:sz w:val="20"/>
                <w:szCs w:val="20"/>
              </w:rPr>
              <w:t>12</w:t>
            </w:r>
            <w:r w:rsidR="00631917" w:rsidRPr="00631917">
              <w:rPr>
                <w:rFonts w:ascii="HelveticaNeueLT Pro 45 Lt" w:hAnsi="HelveticaNeueLT Pro 45 Lt"/>
                <w:noProof/>
                <w:webHidden/>
                <w:sz w:val="20"/>
                <w:szCs w:val="20"/>
              </w:rPr>
              <w:fldChar w:fldCharType="end"/>
            </w:r>
          </w:hyperlink>
        </w:p>
        <w:p w:rsidR="00631917" w:rsidRDefault="00BD3594">
          <w:pPr>
            <w:pStyle w:val="TOC1"/>
            <w:tabs>
              <w:tab w:val="right" w:leader="dot" w:pos="9014"/>
            </w:tabs>
            <w:rPr>
              <w:rFonts w:asciiTheme="minorHAnsi" w:eastAsiaTheme="minorEastAsia" w:hAnsiTheme="minorHAnsi" w:cstheme="minorBidi"/>
              <w:noProof/>
              <w:szCs w:val="22"/>
            </w:rPr>
          </w:pPr>
          <w:hyperlink w:anchor="_Toc26441186" w:history="1"/>
        </w:p>
        <w:p w:rsidR="00631917" w:rsidRDefault="00631917">
          <w:r>
            <w:rPr>
              <w:b/>
              <w:bCs/>
              <w:noProof/>
            </w:rPr>
            <w:fldChar w:fldCharType="end"/>
          </w:r>
        </w:p>
      </w:sdtContent>
    </w:sdt>
    <w:p w:rsidR="00631917" w:rsidRDefault="00631917" w:rsidP="00631917">
      <w:pPr>
        <w:pStyle w:val="Policybodytext"/>
      </w:pPr>
      <w:r>
        <w:br w:type="page"/>
      </w:r>
    </w:p>
    <w:p w:rsidR="009A5546" w:rsidRPr="00F8427E" w:rsidRDefault="009A5546" w:rsidP="00631917">
      <w:pPr>
        <w:pStyle w:val="Policyheading"/>
      </w:pPr>
      <w:bookmarkStart w:id="5" w:name="_Toc26441179"/>
      <w:r w:rsidRPr="00F8427E">
        <w:lastRenderedPageBreak/>
        <w:t>Schedule 1 - Minimum Age Requirements</w:t>
      </w:r>
      <w:bookmarkEnd w:id="5"/>
    </w:p>
    <w:p w:rsidR="009A5546" w:rsidRPr="009A5546" w:rsidRDefault="009A5546" w:rsidP="009A5546">
      <w:pPr>
        <w:pStyle w:val="Policybodytext"/>
        <w:numPr>
          <w:ilvl w:val="0"/>
          <w:numId w:val="24"/>
        </w:numPr>
        <w:ind w:left="426" w:hanging="426"/>
      </w:pPr>
      <w:r w:rsidRPr="009A5546">
        <w:t>An applicant must reach at least 16 years of age on the commencement date of the program in which they will enrol as a student.</w:t>
      </w:r>
    </w:p>
    <w:p w:rsidR="009A5546" w:rsidRDefault="009A5546" w:rsidP="009A5546">
      <w:pPr>
        <w:pStyle w:val="Policybodytext"/>
        <w:numPr>
          <w:ilvl w:val="0"/>
          <w:numId w:val="24"/>
        </w:numPr>
        <w:ind w:left="426" w:hanging="426"/>
      </w:pPr>
      <w:r w:rsidRPr="009A5546">
        <w:t>Applicants who will study on an international student visa in Australia who will be under 18 years of age at the time they will commence in their program must satisfy additional requirements and provide written consent to their enrolment from a parent or guardian. The additional requirements will be advised at the time of offer.</w:t>
      </w:r>
    </w:p>
    <w:p w:rsidR="00631917" w:rsidRDefault="00631917">
      <w:pPr>
        <w:rPr>
          <w:rFonts w:ascii="Museo 300" w:hAnsi="Museo 300" w:cs="Helvetica"/>
          <w:sz w:val="32"/>
          <w:szCs w:val="32"/>
        </w:rPr>
      </w:pPr>
      <w:r>
        <w:rPr>
          <w:rFonts w:ascii="Museo 300" w:hAnsi="Museo 300" w:cs="Helvetica"/>
          <w:sz w:val="32"/>
          <w:szCs w:val="32"/>
        </w:rPr>
        <w:br w:type="page"/>
      </w:r>
    </w:p>
    <w:p w:rsidR="009A5546" w:rsidRDefault="009A5546" w:rsidP="00631917">
      <w:pPr>
        <w:pStyle w:val="Policyheading"/>
      </w:pPr>
      <w:bookmarkStart w:id="6" w:name="_Toc26441180"/>
      <w:r w:rsidRPr="009A5546">
        <w:lastRenderedPageBreak/>
        <w:t xml:space="preserve">Schedule </w:t>
      </w:r>
      <w:r>
        <w:t>2</w:t>
      </w:r>
      <w:r w:rsidRPr="009A5546">
        <w:t xml:space="preserve"> - Minimum </w:t>
      </w:r>
      <w:r>
        <w:t xml:space="preserve">English Language Entry </w:t>
      </w:r>
      <w:r w:rsidRPr="009A5546">
        <w:t>Requirements</w:t>
      </w:r>
      <w:bookmarkEnd w:id="6"/>
    </w:p>
    <w:p w:rsidR="009A5546" w:rsidRPr="009A5546" w:rsidRDefault="009A5546" w:rsidP="009A5546">
      <w:pPr>
        <w:pStyle w:val="Policybodytext"/>
        <w:rPr>
          <w:rFonts w:ascii="Museo 300" w:hAnsi="Museo 300"/>
          <w:sz w:val="24"/>
        </w:rPr>
      </w:pPr>
      <w:r w:rsidRPr="009A5546">
        <w:rPr>
          <w:rFonts w:ascii="Museo 300" w:hAnsi="Museo 300"/>
          <w:sz w:val="24"/>
        </w:rPr>
        <w:t>Eng</w:t>
      </w:r>
      <w:r>
        <w:rPr>
          <w:rFonts w:ascii="Museo 300" w:hAnsi="Museo 300"/>
          <w:sz w:val="24"/>
        </w:rPr>
        <w:t>lish language requirements for d</w:t>
      </w:r>
      <w:r w:rsidRPr="009A5546">
        <w:rPr>
          <w:rFonts w:ascii="Museo 300" w:hAnsi="Museo 300"/>
          <w:sz w:val="24"/>
        </w:rPr>
        <w:t>omestic applicants</w:t>
      </w:r>
    </w:p>
    <w:p w:rsidR="009A5546" w:rsidRPr="009A5546" w:rsidRDefault="009A5546" w:rsidP="009A5546">
      <w:pPr>
        <w:pStyle w:val="Policybodytext"/>
        <w:rPr>
          <w:b/>
        </w:rPr>
      </w:pPr>
      <w:r>
        <w:rPr>
          <w:b/>
        </w:rPr>
        <w:t>For entry to u</w:t>
      </w:r>
      <w:r w:rsidRPr="009A5546">
        <w:rPr>
          <w:b/>
        </w:rPr>
        <w:t>ndergraduate programs</w:t>
      </w:r>
    </w:p>
    <w:p w:rsidR="009A5546" w:rsidRDefault="00620050" w:rsidP="00620050">
      <w:pPr>
        <w:pStyle w:val="Policybodytext"/>
        <w:numPr>
          <w:ilvl w:val="0"/>
          <w:numId w:val="25"/>
        </w:numPr>
        <w:ind w:left="426" w:hanging="426"/>
      </w:pPr>
      <w:r>
        <w:t>A</w:t>
      </w:r>
      <w:r w:rsidR="009A5546">
        <w:t>pplicants with qualifications from English speaking backgrounds</w:t>
      </w:r>
    </w:p>
    <w:p w:rsidR="00620050" w:rsidRDefault="009A5546" w:rsidP="00620050">
      <w:pPr>
        <w:pStyle w:val="Policylistlevel1"/>
        <w:numPr>
          <w:ilvl w:val="1"/>
          <w:numId w:val="6"/>
        </w:numPr>
        <w:ind w:left="993" w:hanging="567"/>
      </w:pPr>
      <w:r>
        <w:t>All applicants for whom the most recent qualification is the Victorian Certificate of Education (VCE) must achieve the following:</w:t>
      </w:r>
    </w:p>
    <w:p w:rsidR="009A5546" w:rsidRDefault="009A5546" w:rsidP="00620050">
      <w:pPr>
        <w:pStyle w:val="Policylistlevel1"/>
        <w:numPr>
          <w:ilvl w:val="2"/>
          <w:numId w:val="6"/>
        </w:numPr>
        <w:ind w:left="1701" w:hanging="708"/>
      </w:pPr>
      <w:r>
        <w:t>for entry to bachelor degrees, a study score of at least 30 in Units 3 &amp; 4 English as an Additional Language (EAL) or at least 25 in Units 3 &amp; 4 English, Literature or English Language;</w:t>
      </w:r>
    </w:p>
    <w:p w:rsidR="009A5546" w:rsidRDefault="009A5546" w:rsidP="00AF7B37">
      <w:pPr>
        <w:pStyle w:val="Policylistlevel1"/>
        <w:numPr>
          <w:ilvl w:val="2"/>
          <w:numId w:val="6"/>
        </w:numPr>
        <w:ind w:left="1701" w:hanging="708"/>
      </w:pPr>
      <w:r>
        <w:t>for entry to associate degrees, a study score of at least 25 in Units 3 &amp; 4 English as an Additional Language (EAL) or at least 20 in Units 3 &amp; 4 English, Literature or English Language.</w:t>
      </w:r>
    </w:p>
    <w:p w:rsidR="009A5546" w:rsidRDefault="009A5546" w:rsidP="00AF7B37">
      <w:pPr>
        <w:pStyle w:val="Policylistlevel1"/>
        <w:numPr>
          <w:ilvl w:val="1"/>
          <w:numId w:val="6"/>
        </w:numPr>
        <w:ind w:left="993" w:hanging="567"/>
      </w:pPr>
      <w:r>
        <w:t>For Schools Network Access Program (SNAP) and Aboriginal and Torres Strait Islander Access Scheme applicants, the English study score for admission to bachelor degree programs is five points lower than the published study score for the program.</w:t>
      </w:r>
    </w:p>
    <w:p w:rsidR="009A5546" w:rsidRDefault="009A5546" w:rsidP="00AF7B37">
      <w:pPr>
        <w:pStyle w:val="Policylistlevel1"/>
        <w:numPr>
          <w:ilvl w:val="1"/>
          <w:numId w:val="6"/>
        </w:numPr>
        <w:ind w:left="993" w:hanging="567"/>
      </w:pPr>
      <w:r>
        <w:t>Applicants for whom the most recent qualification is:</w:t>
      </w:r>
    </w:p>
    <w:p w:rsidR="009A5546" w:rsidRDefault="009A5546" w:rsidP="00122CF4">
      <w:pPr>
        <w:pStyle w:val="Policylistlevel1"/>
        <w:numPr>
          <w:ilvl w:val="2"/>
          <w:numId w:val="6"/>
        </w:numPr>
        <w:ind w:left="1701" w:hanging="708"/>
      </w:pPr>
      <w:r>
        <w:t>Year 12 in other Australian states or territories,</w:t>
      </w:r>
    </w:p>
    <w:p w:rsidR="009A5546" w:rsidRDefault="009A5546" w:rsidP="00122CF4">
      <w:pPr>
        <w:pStyle w:val="Policylistlevel1"/>
        <w:numPr>
          <w:ilvl w:val="2"/>
          <w:numId w:val="6"/>
        </w:numPr>
        <w:ind w:left="1701" w:hanging="708"/>
      </w:pPr>
      <w:r>
        <w:t>New Zealand Year 13,</w:t>
      </w:r>
    </w:p>
    <w:p w:rsidR="009A5546" w:rsidRDefault="009A5546" w:rsidP="00122CF4">
      <w:pPr>
        <w:pStyle w:val="Policylistlevel1"/>
        <w:numPr>
          <w:ilvl w:val="2"/>
          <w:numId w:val="6"/>
        </w:numPr>
        <w:ind w:left="1701" w:hanging="708"/>
      </w:pPr>
      <w:r>
        <w:t>the International Baccalaureate, or</w:t>
      </w:r>
    </w:p>
    <w:p w:rsidR="009A5546" w:rsidRDefault="009A5546" w:rsidP="00122CF4">
      <w:pPr>
        <w:pStyle w:val="Policylistlevel1"/>
        <w:numPr>
          <w:ilvl w:val="2"/>
          <w:numId w:val="6"/>
        </w:numPr>
        <w:ind w:left="1701" w:hanging="708"/>
      </w:pPr>
      <w:r>
        <w:t>an overseas Year 12 qualification equivalent to one of the above from an English-speak</w:t>
      </w:r>
      <w:r w:rsidR="00122CF4">
        <w:t>ing country recognised by RMIT</w:t>
      </w:r>
    </w:p>
    <w:p w:rsidR="009A5546" w:rsidRDefault="00122CF4" w:rsidP="00122CF4">
      <w:pPr>
        <w:pStyle w:val="Policylistlevel1"/>
        <w:ind w:left="993"/>
      </w:pPr>
      <w:r>
        <w:t>m</w:t>
      </w:r>
      <w:r w:rsidR="009A5546">
        <w:t>ust have achieved study scores in an English subject equivalent to the VCE subjects and scores listed above.</w:t>
      </w:r>
    </w:p>
    <w:p w:rsidR="009A5546" w:rsidRDefault="009A5546" w:rsidP="00122CF4">
      <w:pPr>
        <w:pStyle w:val="Policylistlevel1"/>
        <w:numPr>
          <w:ilvl w:val="1"/>
          <w:numId w:val="6"/>
        </w:numPr>
        <w:ind w:left="993" w:hanging="567"/>
      </w:pPr>
      <w:r>
        <w:t>Applicants who have completed tertiary study must have:</w:t>
      </w:r>
    </w:p>
    <w:p w:rsidR="009A5546" w:rsidRDefault="009A5546" w:rsidP="00122CF4">
      <w:pPr>
        <w:pStyle w:val="Policylistlevel1"/>
        <w:numPr>
          <w:ilvl w:val="2"/>
          <w:numId w:val="6"/>
        </w:numPr>
        <w:ind w:left="1701" w:hanging="708"/>
      </w:pPr>
      <w:r>
        <w:t>successfully completed at least two courses (subjects) or 24 RMIT university credit points at Australian undergraduate level (or overseas equivalent), or</w:t>
      </w:r>
    </w:p>
    <w:p w:rsidR="009A5546" w:rsidRDefault="009A5546" w:rsidP="009A5546">
      <w:pPr>
        <w:pStyle w:val="Policylistlevel1"/>
        <w:numPr>
          <w:ilvl w:val="2"/>
          <w:numId w:val="6"/>
        </w:numPr>
        <w:ind w:left="1701" w:hanging="708"/>
      </w:pPr>
      <w:r>
        <w:t>successfully completed an AQF accredited award at certificate IV or above (or overseas equivalent)</w:t>
      </w:r>
    </w:p>
    <w:p w:rsidR="009A5546" w:rsidRDefault="009A5546" w:rsidP="00122CF4">
      <w:pPr>
        <w:pStyle w:val="Policylistlevel1"/>
        <w:numPr>
          <w:ilvl w:val="1"/>
          <w:numId w:val="6"/>
        </w:numPr>
        <w:ind w:left="993" w:hanging="567"/>
      </w:pPr>
      <w:r>
        <w:t>Applicants who do not meet the minimum English language requirements with formal study may satisfy the English language requirements by completing the Special Tertiary Admissions Test (STAT) multiple choice and achieving the following minimum scores:</w:t>
      </w:r>
    </w:p>
    <w:p w:rsidR="009A5546" w:rsidRDefault="009A5546" w:rsidP="00122CF4">
      <w:pPr>
        <w:pStyle w:val="Policylistlevel1"/>
        <w:numPr>
          <w:ilvl w:val="2"/>
          <w:numId w:val="6"/>
        </w:numPr>
        <w:ind w:left="1701" w:hanging="708"/>
      </w:pPr>
      <w:r>
        <w:t>for entry to a bachelor degree, an overall score of at least 155</w:t>
      </w:r>
    </w:p>
    <w:p w:rsidR="009A5546" w:rsidRDefault="009A5546" w:rsidP="00122CF4">
      <w:pPr>
        <w:pStyle w:val="Policylistlevel1"/>
        <w:numPr>
          <w:ilvl w:val="2"/>
          <w:numId w:val="6"/>
        </w:numPr>
        <w:ind w:left="1701" w:hanging="708"/>
      </w:pPr>
      <w:r>
        <w:t>for entry to an associate degree, an overall score of at least 150</w:t>
      </w:r>
      <w:r w:rsidR="00122CF4">
        <w:t>.</w:t>
      </w:r>
    </w:p>
    <w:p w:rsidR="00122CF4" w:rsidRDefault="00122CF4" w:rsidP="00122CF4">
      <w:pPr>
        <w:pStyle w:val="Policybodytext"/>
        <w:numPr>
          <w:ilvl w:val="0"/>
          <w:numId w:val="25"/>
        </w:numPr>
        <w:ind w:left="426" w:hanging="426"/>
      </w:pPr>
      <w:r w:rsidRPr="00122CF4">
        <w:t>Applicants with qualifications from non-English speaking backgrounds</w:t>
      </w:r>
    </w:p>
    <w:p w:rsidR="005721A5" w:rsidRDefault="00122CF4" w:rsidP="005721A5">
      <w:pPr>
        <w:pStyle w:val="Policybodytext"/>
        <w:numPr>
          <w:ilvl w:val="1"/>
          <w:numId w:val="25"/>
        </w:numPr>
        <w:ind w:left="993" w:hanging="567"/>
      </w:pPr>
      <w:r>
        <w:t>Applicants for whom the highest qualif</w:t>
      </w:r>
      <w:r w:rsidR="005721A5">
        <w:t>ication is an overseas Year 12</w:t>
      </w:r>
    </w:p>
    <w:p w:rsidR="005721A5" w:rsidRDefault="00122CF4" w:rsidP="005721A5">
      <w:pPr>
        <w:pStyle w:val="Policybodytext"/>
        <w:numPr>
          <w:ilvl w:val="1"/>
          <w:numId w:val="25"/>
        </w:numPr>
        <w:ind w:left="993" w:hanging="567"/>
      </w:pPr>
      <w:r>
        <w:t>If the qualification has been completed in a non-English speaking country, the applicant may meet the English requirement by:</w:t>
      </w:r>
    </w:p>
    <w:p w:rsidR="005721A5" w:rsidRDefault="005721A5" w:rsidP="005721A5">
      <w:pPr>
        <w:pStyle w:val="Policybodytext"/>
        <w:numPr>
          <w:ilvl w:val="2"/>
          <w:numId w:val="25"/>
        </w:numPr>
        <w:ind w:left="1701" w:hanging="708"/>
      </w:pPr>
      <w:r>
        <w:t>c</w:t>
      </w:r>
      <w:r w:rsidR="00122CF4">
        <w:t>ompleting an accepted Eng</w:t>
      </w:r>
      <w:r>
        <w:t>lish Language proficiency test</w:t>
      </w:r>
    </w:p>
    <w:p w:rsidR="005721A5" w:rsidRDefault="005721A5" w:rsidP="005721A5">
      <w:pPr>
        <w:pStyle w:val="Policybodytext"/>
        <w:numPr>
          <w:ilvl w:val="2"/>
          <w:numId w:val="25"/>
        </w:numPr>
        <w:ind w:left="1701" w:hanging="708"/>
      </w:pPr>
      <w:r>
        <w:lastRenderedPageBreak/>
        <w:t>c</w:t>
      </w:r>
      <w:r w:rsidR="00122CF4">
        <w:t>ompleting a recognised qualification (including English language programs from appro</w:t>
      </w:r>
      <w:r>
        <w:t>ved English language providers)</w:t>
      </w:r>
    </w:p>
    <w:p w:rsidR="00122CF4" w:rsidRDefault="005721A5" w:rsidP="005721A5">
      <w:pPr>
        <w:pStyle w:val="Policybodytext"/>
        <w:numPr>
          <w:ilvl w:val="2"/>
          <w:numId w:val="25"/>
        </w:numPr>
        <w:ind w:left="1701" w:hanging="708"/>
      </w:pPr>
      <w:r>
        <w:t>c</w:t>
      </w:r>
      <w:r w:rsidR="00122CF4">
        <w:t>ompleting the Certificate IV in English as an Additional Language</w:t>
      </w:r>
    </w:p>
    <w:p w:rsidR="005721A5" w:rsidRDefault="00122CF4" w:rsidP="005721A5">
      <w:pPr>
        <w:pStyle w:val="Policybodytext"/>
        <w:numPr>
          <w:ilvl w:val="1"/>
          <w:numId w:val="25"/>
        </w:numPr>
        <w:ind w:left="993" w:hanging="567"/>
      </w:pPr>
      <w:r>
        <w:t>Applicants who</w:t>
      </w:r>
      <w:r w:rsidR="005721A5">
        <w:t xml:space="preserve"> have completed tertiary study</w:t>
      </w:r>
    </w:p>
    <w:p w:rsidR="00122CF4" w:rsidRDefault="00122CF4" w:rsidP="005721A5">
      <w:pPr>
        <w:pStyle w:val="Policybodytext"/>
        <w:ind w:left="993"/>
      </w:pPr>
      <w:r>
        <w:t>These applicants meet the minimum English language requirement by successfully completing one of the following:</w:t>
      </w:r>
    </w:p>
    <w:p w:rsidR="00122CF4" w:rsidRDefault="005721A5" w:rsidP="005721A5">
      <w:pPr>
        <w:pStyle w:val="Policybodytext"/>
        <w:numPr>
          <w:ilvl w:val="2"/>
          <w:numId w:val="25"/>
        </w:numPr>
        <w:ind w:left="1701" w:hanging="708"/>
      </w:pPr>
      <w:r>
        <w:t>a</w:t>
      </w:r>
      <w:r w:rsidR="00122CF4">
        <w:t>t least two courses or 24 RMIT University credit points at Australian undergraduate level (or overseas equivalent) where the teaching and assessment was in English.</w:t>
      </w:r>
    </w:p>
    <w:p w:rsidR="00122CF4" w:rsidRDefault="005721A5" w:rsidP="005721A5">
      <w:pPr>
        <w:pStyle w:val="Policybodytext"/>
        <w:numPr>
          <w:ilvl w:val="2"/>
          <w:numId w:val="25"/>
        </w:numPr>
        <w:ind w:left="1701" w:hanging="708"/>
      </w:pPr>
      <w:r>
        <w:t>a</w:t>
      </w:r>
      <w:r w:rsidR="00122CF4">
        <w:t>n AQF accredited award at Certificate IV or above (or overseas equivalent) where the teaching and assessment was in English.</w:t>
      </w:r>
    </w:p>
    <w:p w:rsidR="00122CF4" w:rsidRDefault="00122CF4" w:rsidP="005721A5">
      <w:pPr>
        <w:pStyle w:val="Policybodytext"/>
        <w:ind w:left="993"/>
      </w:pPr>
      <w:r>
        <w:t>Where the teaching and assessment was not in English, or the study undertaken overseas is not deemed equivalent, applicants may meet the requirements by:</w:t>
      </w:r>
    </w:p>
    <w:p w:rsidR="00122CF4" w:rsidRDefault="005721A5" w:rsidP="005721A5">
      <w:pPr>
        <w:pStyle w:val="Policybodytext"/>
        <w:numPr>
          <w:ilvl w:val="2"/>
          <w:numId w:val="25"/>
        </w:numPr>
        <w:ind w:left="1701" w:hanging="708"/>
      </w:pPr>
      <w:r>
        <w:t>c</w:t>
      </w:r>
      <w:r w:rsidR="00122CF4">
        <w:t>ompleting an accepted English Language proficiency test.</w:t>
      </w:r>
    </w:p>
    <w:p w:rsidR="00122CF4" w:rsidRDefault="005721A5" w:rsidP="005721A5">
      <w:pPr>
        <w:pStyle w:val="Policybodytext"/>
        <w:numPr>
          <w:ilvl w:val="2"/>
          <w:numId w:val="25"/>
        </w:numPr>
        <w:ind w:left="1701" w:hanging="708"/>
      </w:pPr>
      <w:r>
        <w:t>c</w:t>
      </w:r>
      <w:r w:rsidR="00122CF4">
        <w:t>ompleting an English language program from an approved English language provider.</w:t>
      </w:r>
    </w:p>
    <w:p w:rsidR="00122CF4" w:rsidRDefault="00122CF4" w:rsidP="005721A5">
      <w:pPr>
        <w:pStyle w:val="Policybodytext"/>
        <w:numPr>
          <w:ilvl w:val="2"/>
          <w:numId w:val="25"/>
        </w:numPr>
        <w:ind w:left="1701" w:hanging="708"/>
      </w:pPr>
      <w:r>
        <w:t>Certificate IV in English as an Additional Language (EAL).</w:t>
      </w:r>
    </w:p>
    <w:p w:rsidR="00122CF4" w:rsidRPr="00E507FA" w:rsidRDefault="00E507FA" w:rsidP="00E507FA">
      <w:pPr>
        <w:pStyle w:val="Policybodytext"/>
        <w:rPr>
          <w:b/>
        </w:rPr>
      </w:pPr>
      <w:r>
        <w:rPr>
          <w:b/>
        </w:rPr>
        <w:t>For entry to vocational education and p</w:t>
      </w:r>
      <w:r w:rsidR="00122CF4" w:rsidRPr="00E507FA">
        <w:rPr>
          <w:b/>
        </w:rPr>
        <w:t>ostgraduate programs</w:t>
      </w:r>
    </w:p>
    <w:p w:rsidR="00122CF4" w:rsidRDefault="00122CF4" w:rsidP="00E507FA">
      <w:pPr>
        <w:pStyle w:val="Policybodytext"/>
        <w:numPr>
          <w:ilvl w:val="0"/>
          <w:numId w:val="25"/>
        </w:numPr>
        <w:ind w:left="426" w:hanging="426"/>
      </w:pPr>
      <w:r>
        <w:t>There are no University minimum English language requirements for entry into vocational education and postgraduate programs for domestic applicants.</w:t>
      </w:r>
    </w:p>
    <w:p w:rsidR="00122CF4" w:rsidRDefault="00122CF4" w:rsidP="00E507FA">
      <w:pPr>
        <w:pStyle w:val="Policybodytext"/>
        <w:ind w:left="426"/>
      </w:pPr>
      <w:r>
        <w:t xml:space="preserve">English requirements may be set for individual programs as part of the program entry requirements. </w:t>
      </w:r>
    </w:p>
    <w:p w:rsidR="00122CF4" w:rsidRPr="00FA4CE3" w:rsidRDefault="00122CF4" w:rsidP="00E507FA">
      <w:pPr>
        <w:pStyle w:val="Policybodytext"/>
        <w:rPr>
          <w:rFonts w:ascii="Museo 300" w:hAnsi="Museo 300"/>
          <w:sz w:val="24"/>
        </w:rPr>
      </w:pPr>
      <w:r w:rsidRPr="00FA4CE3">
        <w:rPr>
          <w:rFonts w:ascii="Museo 300" w:hAnsi="Museo 300"/>
          <w:sz w:val="24"/>
        </w:rPr>
        <w:t>English language requirements for international applicants</w:t>
      </w:r>
    </w:p>
    <w:p w:rsidR="00E507FA" w:rsidRDefault="00122CF4" w:rsidP="00E507FA">
      <w:pPr>
        <w:pStyle w:val="Policybodytext"/>
        <w:numPr>
          <w:ilvl w:val="0"/>
          <w:numId w:val="25"/>
        </w:numPr>
        <w:ind w:left="426" w:hanging="426"/>
      </w:pPr>
      <w:r>
        <w:t>The following applicants must satisfy the University’s English language entry requirements:</w:t>
      </w:r>
    </w:p>
    <w:p w:rsidR="00E507FA" w:rsidRDefault="00122CF4" w:rsidP="00E507FA">
      <w:pPr>
        <w:pStyle w:val="Policybodytext"/>
        <w:numPr>
          <w:ilvl w:val="1"/>
          <w:numId w:val="25"/>
        </w:numPr>
        <w:ind w:left="993" w:hanging="567"/>
      </w:pPr>
      <w:r>
        <w:t>international applicants to RMIT Australia for whom English is not a first language, and who will be studying on any type of visa, and</w:t>
      </w:r>
    </w:p>
    <w:p w:rsidR="00122CF4" w:rsidRDefault="00122CF4" w:rsidP="00E507FA">
      <w:pPr>
        <w:pStyle w:val="Policybodytext"/>
        <w:numPr>
          <w:ilvl w:val="1"/>
          <w:numId w:val="25"/>
        </w:numPr>
        <w:ind w:left="993" w:hanging="567"/>
      </w:pPr>
      <w:r>
        <w:t>applicants for programs taught outside Australia for whom English is not a first language.</w:t>
      </w:r>
    </w:p>
    <w:p w:rsidR="00122CF4" w:rsidRDefault="00122CF4" w:rsidP="00E507FA">
      <w:pPr>
        <w:pStyle w:val="Policybodytext"/>
        <w:numPr>
          <w:ilvl w:val="0"/>
          <w:numId w:val="25"/>
        </w:numPr>
        <w:ind w:left="426" w:hanging="426"/>
      </w:pPr>
      <w:r>
        <w:t>These applicants can satisfy the English requirement by:</w:t>
      </w:r>
    </w:p>
    <w:p w:rsidR="00122CF4" w:rsidRDefault="00122CF4" w:rsidP="00E507FA">
      <w:pPr>
        <w:pStyle w:val="Policybodytext"/>
        <w:numPr>
          <w:ilvl w:val="1"/>
          <w:numId w:val="25"/>
        </w:numPr>
        <w:ind w:left="993" w:hanging="567"/>
      </w:pPr>
      <w:r>
        <w:t>achieving, within two years before they will commence study in the RMIT program, the minimum score in an English language test approved by Education Committee and published on the English requirements web page, or</w:t>
      </w:r>
    </w:p>
    <w:p w:rsidR="00122CF4" w:rsidRDefault="00122CF4" w:rsidP="00E507FA">
      <w:pPr>
        <w:pStyle w:val="Policybodytext"/>
        <w:numPr>
          <w:ilvl w:val="1"/>
          <w:numId w:val="25"/>
        </w:numPr>
        <w:ind w:left="993" w:hanging="567"/>
      </w:pPr>
      <w:r>
        <w:t>presenting one of the qualifications specified below.</w:t>
      </w:r>
    </w:p>
    <w:p w:rsidR="00122CF4" w:rsidRPr="00C142D2" w:rsidRDefault="00122CF4" w:rsidP="00C142D2">
      <w:pPr>
        <w:pStyle w:val="Policybodytext"/>
        <w:rPr>
          <w:b/>
        </w:rPr>
      </w:pPr>
      <w:r w:rsidRPr="00C142D2">
        <w:rPr>
          <w:b/>
        </w:rPr>
        <w:t>Qualifications that satisfy the English language entry requirement</w:t>
      </w:r>
    </w:p>
    <w:p w:rsidR="00122CF4" w:rsidRDefault="00122CF4" w:rsidP="00C142D2">
      <w:pPr>
        <w:pStyle w:val="Policybodytext"/>
        <w:numPr>
          <w:ilvl w:val="0"/>
          <w:numId w:val="25"/>
        </w:numPr>
        <w:ind w:left="426" w:hanging="426"/>
      </w:pPr>
      <w:r>
        <w:t>Applicants may satisfy the English requirement for programs with an IELTS entry score requirement of 6.5 through successful completion of one of the following qualifications:</w:t>
      </w:r>
    </w:p>
    <w:p w:rsidR="00122CF4" w:rsidRDefault="00122CF4" w:rsidP="00C142D2">
      <w:pPr>
        <w:pStyle w:val="Policybodytext"/>
        <w:ind w:left="360"/>
      </w:pPr>
      <w:r>
        <w:t>Programs delivered by an approved English language provider</w:t>
      </w:r>
    </w:p>
    <w:p w:rsidR="00122CF4" w:rsidRDefault="00122CF4" w:rsidP="00C142D2">
      <w:pPr>
        <w:pStyle w:val="Policybodytext"/>
        <w:numPr>
          <w:ilvl w:val="1"/>
          <w:numId w:val="25"/>
        </w:numPr>
        <w:ind w:left="993" w:hanging="567"/>
      </w:pPr>
      <w:r>
        <w:t>Applicants must have completed an English language program delivered by one of the English language providers listed on the English language provider webpage within 12 months before they will commence study.</w:t>
      </w:r>
    </w:p>
    <w:p w:rsidR="00122CF4" w:rsidRDefault="00122CF4" w:rsidP="00C142D2">
      <w:pPr>
        <w:pStyle w:val="Policybodytext"/>
        <w:ind w:left="360"/>
      </w:pPr>
      <w:r>
        <w:t>Secondary studies</w:t>
      </w:r>
    </w:p>
    <w:p w:rsidR="00C142D2" w:rsidRDefault="00122CF4" w:rsidP="00C142D2">
      <w:pPr>
        <w:pStyle w:val="Policybodytext"/>
        <w:numPr>
          <w:ilvl w:val="1"/>
          <w:numId w:val="25"/>
        </w:numPr>
        <w:ind w:left="993" w:hanging="567"/>
      </w:pPr>
      <w:r>
        <w:lastRenderedPageBreak/>
        <w:t>Applicants must have:</w:t>
      </w:r>
    </w:p>
    <w:p w:rsidR="00122CF4" w:rsidRDefault="00122CF4" w:rsidP="00C142D2">
      <w:pPr>
        <w:pStyle w:val="Policybodytext"/>
        <w:numPr>
          <w:ilvl w:val="2"/>
          <w:numId w:val="25"/>
        </w:numPr>
        <w:ind w:left="1701" w:hanging="708"/>
      </w:pPr>
      <w:r>
        <w:t>completed the equivalent of Victorian Year 11 and Year 12 in a secondary school where English is the language o</w:t>
      </w:r>
      <w:r w:rsidR="00C142D2">
        <w:t>f teaching and assessment, and m</w:t>
      </w:r>
      <w:r>
        <w:t>inimum English language entry requirements</w:t>
      </w:r>
    </w:p>
    <w:p w:rsidR="00122CF4" w:rsidRDefault="00122CF4" w:rsidP="00C142D2">
      <w:pPr>
        <w:pStyle w:val="Policybodytext"/>
        <w:numPr>
          <w:ilvl w:val="2"/>
          <w:numId w:val="25"/>
        </w:numPr>
        <w:ind w:left="1701" w:hanging="708"/>
      </w:pPr>
      <w:r>
        <w:t>achieved a satisfactory pass in an English subject assessed as equivalent to the VCE English subjects and scores in section 1 above within 2 years before the intended commencement date of study. For approved secondary school qualifications, please refer to the University’s English requirements web page.</w:t>
      </w:r>
    </w:p>
    <w:p w:rsidR="00122CF4" w:rsidRDefault="00122CF4" w:rsidP="00C142D2">
      <w:pPr>
        <w:pStyle w:val="Policybodytext"/>
        <w:numPr>
          <w:ilvl w:val="1"/>
          <w:numId w:val="25"/>
        </w:numPr>
        <w:ind w:left="993" w:hanging="567"/>
      </w:pPr>
      <w:r>
        <w:t>International applicants for vocational education programs who apply on the basis of the VCE must have achieved a study score of 20 in English as an Additional Language or 15 in any other English study.</w:t>
      </w:r>
    </w:p>
    <w:p w:rsidR="00122CF4" w:rsidRDefault="00122CF4" w:rsidP="00C142D2">
      <w:pPr>
        <w:pStyle w:val="Policybodytext"/>
        <w:ind w:left="360"/>
      </w:pPr>
      <w:r>
        <w:t>Secondary studies in an English-speaking country</w:t>
      </w:r>
    </w:p>
    <w:p w:rsidR="00122CF4" w:rsidRDefault="00122CF4" w:rsidP="00FA4CE3">
      <w:pPr>
        <w:pStyle w:val="Policybodytext"/>
        <w:numPr>
          <w:ilvl w:val="1"/>
          <w:numId w:val="25"/>
        </w:numPr>
        <w:ind w:left="993" w:hanging="567"/>
      </w:pPr>
      <w:r>
        <w:t>A list of English-speaking countries is approved by the Assistant Director, Pathways and Operations (International), and published online.</w:t>
      </w:r>
    </w:p>
    <w:p w:rsidR="00122CF4" w:rsidRDefault="00122CF4" w:rsidP="00FA4CE3">
      <w:pPr>
        <w:pStyle w:val="Policybodytext"/>
        <w:numPr>
          <w:ilvl w:val="1"/>
          <w:numId w:val="25"/>
        </w:numPr>
        <w:ind w:left="993" w:hanging="567"/>
      </w:pPr>
      <w:r>
        <w:t>Applicants who have completed their secondary education in one of these English-speaking countries within two years before the intended commencement date of study are deemed to satisfy the University’s English language requirement for programs with an IELTS requirement of 6.5 or less.</w:t>
      </w:r>
    </w:p>
    <w:p w:rsidR="00122CF4" w:rsidRDefault="00122CF4" w:rsidP="00FA4CE3">
      <w:pPr>
        <w:pStyle w:val="Policybodytext"/>
        <w:numPr>
          <w:ilvl w:val="1"/>
          <w:numId w:val="25"/>
        </w:numPr>
        <w:ind w:left="993" w:hanging="567"/>
      </w:pPr>
      <w:r>
        <w:t>The two-year recency requirement does not apply to applicants who:</w:t>
      </w:r>
    </w:p>
    <w:p w:rsidR="00122CF4" w:rsidRDefault="00122CF4" w:rsidP="00FA4CE3">
      <w:pPr>
        <w:pStyle w:val="Policybodytext"/>
        <w:numPr>
          <w:ilvl w:val="2"/>
          <w:numId w:val="25"/>
        </w:numPr>
        <w:ind w:left="1701" w:hanging="708"/>
      </w:pPr>
      <w:r>
        <w:t>have held citizenship of the English-speaking country for at least five years; or</w:t>
      </w:r>
    </w:p>
    <w:p w:rsidR="00122CF4" w:rsidRDefault="00122CF4" w:rsidP="00FA4CE3">
      <w:pPr>
        <w:pStyle w:val="Policybodytext"/>
        <w:numPr>
          <w:ilvl w:val="2"/>
          <w:numId w:val="25"/>
        </w:numPr>
        <w:ind w:left="1701" w:hanging="708"/>
      </w:pPr>
      <w:r>
        <w:t>have resided continuously in an English-speaking country since completing their secondary studies in an English-speaking country.</w:t>
      </w:r>
    </w:p>
    <w:p w:rsidR="00122CF4" w:rsidRDefault="00122CF4" w:rsidP="00FA4CE3">
      <w:pPr>
        <w:pStyle w:val="Policybodytext"/>
        <w:ind w:left="360"/>
      </w:pPr>
      <w:r>
        <w:t>Foundation studies</w:t>
      </w:r>
    </w:p>
    <w:p w:rsidR="00122CF4" w:rsidRDefault="00122CF4" w:rsidP="00FA4CE3">
      <w:pPr>
        <w:pStyle w:val="Policybodytext"/>
        <w:numPr>
          <w:ilvl w:val="1"/>
          <w:numId w:val="25"/>
        </w:numPr>
        <w:ind w:left="993" w:hanging="567"/>
      </w:pPr>
      <w:r>
        <w:t>Applicants must have successfully completed an RMIT Foundation Studies program or equivalent, including the minimum score as specified on the guaranteed pathway requirements webpage, within 2 years before the intended commencement date of study.</w:t>
      </w:r>
    </w:p>
    <w:p w:rsidR="00122CF4" w:rsidRDefault="00122CF4" w:rsidP="00FA4CE3">
      <w:pPr>
        <w:pStyle w:val="Policybodytext"/>
        <w:ind w:left="360"/>
      </w:pPr>
      <w:r>
        <w:t>Vocational education studies</w:t>
      </w:r>
    </w:p>
    <w:p w:rsidR="00122CF4" w:rsidRDefault="00122CF4" w:rsidP="00FA4CE3">
      <w:pPr>
        <w:pStyle w:val="Policybodytext"/>
        <w:numPr>
          <w:ilvl w:val="1"/>
          <w:numId w:val="25"/>
        </w:numPr>
        <w:ind w:left="993" w:hanging="567"/>
      </w:pPr>
      <w:r>
        <w:t>Successful completion of at least the equivalent of four RMIT semesters of full-time study (or part-time equivalent) in a vocational education qualification at AQF level 5 or 6 within the past five years, where English is the language of teaching and assessment.</w:t>
      </w:r>
    </w:p>
    <w:p w:rsidR="00122CF4" w:rsidRDefault="00122CF4" w:rsidP="00FA4CE3">
      <w:pPr>
        <w:pStyle w:val="Policybodytext"/>
        <w:ind w:left="360"/>
      </w:pPr>
      <w:r>
        <w:t>Undergraduate studies</w:t>
      </w:r>
    </w:p>
    <w:p w:rsidR="00122CF4" w:rsidRDefault="00122CF4" w:rsidP="00FA4CE3">
      <w:pPr>
        <w:pStyle w:val="Policybodytext"/>
        <w:numPr>
          <w:ilvl w:val="1"/>
          <w:numId w:val="25"/>
        </w:numPr>
        <w:ind w:left="993" w:hanging="567"/>
      </w:pPr>
      <w:r>
        <w:t>Successful completion of:</w:t>
      </w:r>
    </w:p>
    <w:p w:rsidR="00122CF4" w:rsidRDefault="00122CF4" w:rsidP="00FA4CE3">
      <w:pPr>
        <w:pStyle w:val="Policybodytext"/>
        <w:numPr>
          <w:ilvl w:val="2"/>
          <w:numId w:val="25"/>
        </w:numPr>
        <w:ind w:left="1701" w:hanging="708"/>
      </w:pPr>
      <w:r>
        <w:t>a bachelor degree within the past five years, or</w:t>
      </w:r>
    </w:p>
    <w:p w:rsidR="00122CF4" w:rsidRDefault="00122CF4" w:rsidP="00FA4CE3">
      <w:pPr>
        <w:pStyle w:val="Policybodytext"/>
        <w:numPr>
          <w:ilvl w:val="2"/>
          <w:numId w:val="25"/>
        </w:numPr>
        <w:ind w:left="1701" w:hanging="708"/>
      </w:pPr>
      <w:r>
        <w:t>two RMIT semesters of full-time study (or part-time equivalent) in a bachelor degree within the past two years, where English is the language of teaching and assessment.</w:t>
      </w:r>
    </w:p>
    <w:p w:rsidR="00122CF4" w:rsidRDefault="00122CF4" w:rsidP="00FA4CE3">
      <w:pPr>
        <w:pStyle w:val="Policybodytext"/>
        <w:ind w:left="360"/>
      </w:pPr>
      <w:r>
        <w:t>Postgraduate studies</w:t>
      </w:r>
    </w:p>
    <w:p w:rsidR="00122CF4" w:rsidRDefault="00122CF4" w:rsidP="00FA4CE3">
      <w:pPr>
        <w:pStyle w:val="Policybodytext"/>
        <w:numPr>
          <w:ilvl w:val="1"/>
          <w:numId w:val="25"/>
        </w:numPr>
        <w:ind w:left="993" w:hanging="567"/>
      </w:pPr>
      <w:r>
        <w:t>Successful completion of</w:t>
      </w:r>
    </w:p>
    <w:p w:rsidR="00122CF4" w:rsidRDefault="00122CF4" w:rsidP="00FA4CE3">
      <w:pPr>
        <w:pStyle w:val="Policybodytext"/>
        <w:numPr>
          <w:ilvl w:val="2"/>
          <w:numId w:val="25"/>
        </w:numPr>
        <w:ind w:left="1701" w:hanging="708"/>
      </w:pPr>
      <w:r>
        <w:t>a postgraduate qualification, within the past five years; or</w:t>
      </w:r>
    </w:p>
    <w:p w:rsidR="00122CF4" w:rsidRDefault="00122CF4" w:rsidP="00FA4CE3">
      <w:pPr>
        <w:pStyle w:val="Policybodytext"/>
        <w:numPr>
          <w:ilvl w:val="2"/>
          <w:numId w:val="25"/>
        </w:numPr>
        <w:ind w:left="1701" w:hanging="708"/>
      </w:pPr>
      <w:r>
        <w:lastRenderedPageBreak/>
        <w:t>at least one semester full-time (or part-time equivalent) of a postgraduate qualification within the past two years, where English is the language of teaching and assessment.</w:t>
      </w:r>
    </w:p>
    <w:p w:rsidR="00631917" w:rsidRDefault="00631917">
      <w:pPr>
        <w:rPr>
          <w:rFonts w:ascii="Museo 300" w:hAnsi="Museo 300" w:cs="Arial"/>
          <w:kern w:val="32"/>
          <w:sz w:val="32"/>
          <w:szCs w:val="32"/>
        </w:rPr>
      </w:pPr>
      <w:r>
        <w:br w:type="page"/>
      </w:r>
    </w:p>
    <w:p w:rsidR="00122CF4" w:rsidRDefault="00FA4CE3" w:rsidP="00FA4CE3">
      <w:pPr>
        <w:pStyle w:val="Policyheading"/>
      </w:pPr>
      <w:bookmarkStart w:id="7" w:name="_Toc26441181"/>
      <w:r>
        <w:lastRenderedPageBreak/>
        <w:t>Schedule 3 – Minimum Academic Entry Requirements for Preparatory Programs</w:t>
      </w:r>
      <w:bookmarkEnd w:id="7"/>
    </w:p>
    <w:p w:rsidR="00FA4CE3" w:rsidRPr="00FA4CE3" w:rsidRDefault="00FA4CE3" w:rsidP="00FA4CE3">
      <w:pPr>
        <w:pStyle w:val="Policybodytext"/>
        <w:rPr>
          <w:b/>
        </w:rPr>
      </w:pPr>
      <w:r w:rsidRPr="00FA4CE3">
        <w:rPr>
          <w:b/>
        </w:rPr>
        <w:t>The Victorian Certificate of Education (VCE)</w:t>
      </w:r>
    </w:p>
    <w:p w:rsidR="00FA4CE3" w:rsidRDefault="00FA4CE3" w:rsidP="00FA4CE3">
      <w:pPr>
        <w:pStyle w:val="Policybodytext"/>
        <w:numPr>
          <w:ilvl w:val="0"/>
          <w:numId w:val="26"/>
        </w:numPr>
      </w:pPr>
      <w:r>
        <w:t>Admission is subject to the requirements for admission to this program stated in the publications of the Victorian Curriculum and Assessment Authority.</w:t>
      </w:r>
    </w:p>
    <w:p w:rsidR="00FA4CE3" w:rsidRPr="00FA4CE3" w:rsidRDefault="00FA4CE3" w:rsidP="00FA4CE3">
      <w:pPr>
        <w:pStyle w:val="Policybodytext"/>
        <w:rPr>
          <w:b/>
        </w:rPr>
      </w:pPr>
      <w:r w:rsidRPr="00FA4CE3">
        <w:rPr>
          <w:b/>
        </w:rPr>
        <w:t>Foundation Studies programs</w:t>
      </w:r>
    </w:p>
    <w:p w:rsidR="00FA4CE3" w:rsidRDefault="00FA4CE3" w:rsidP="00FA4CE3">
      <w:pPr>
        <w:pStyle w:val="Policybodytext"/>
        <w:numPr>
          <w:ilvl w:val="0"/>
          <w:numId w:val="26"/>
        </w:numPr>
      </w:pPr>
      <w:r>
        <w:t>Successful completion of Australian Year 11 or equivalent.</w:t>
      </w:r>
    </w:p>
    <w:p w:rsidR="00631917" w:rsidRDefault="00631917">
      <w:pPr>
        <w:rPr>
          <w:rFonts w:ascii="Museo 300" w:hAnsi="Museo 300" w:cs="Arial"/>
          <w:kern w:val="32"/>
          <w:sz w:val="32"/>
          <w:szCs w:val="32"/>
        </w:rPr>
      </w:pPr>
      <w:r>
        <w:br w:type="page"/>
      </w:r>
    </w:p>
    <w:p w:rsidR="00FA4CE3" w:rsidRDefault="00FA4CE3" w:rsidP="00FA4CE3">
      <w:pPr>
        <w:pStyle w:val="Policyheading"/>
      </w:pPr>
      <w:bookmarkStart w:id="8" w:name="_Toc26441182"/>
      <w:r>
        <w:lastRenderedPageBreak/>
        <w:t>Schedule 4 - Minimum Academic Entry Requirements for Vocational Education Programs</w:t>
      </w:r>
      <w:bookmarkEnd w:id="8"/>
    </w:p>
    <w:p w:rsidR="00FA4CE3" w:rsidRPr="00FA4CE3" w:rsidRDefault="00FA4CE3" w:rsidP="00FA4CE3">
      <w:pPr>
        <w:pStyle w:val="Policybodytext"/>
        <w:rPr>
          <w:b/>
        </w:rPr>
      </w:pPr>
      <w:r w:rsidRPr="00FA4CE3">
        <w:rPr>
          <w:b/>
        </w:rPr>
        <w:t>Certificate I, II, II and IV, diploma and advanced diploma programs</w:t>
      </w:r>
    </w:p>
    <w:p w:rsidR="00FA4CE3" w:rsidRDefault="00FA4CE3" w:rsidP="00FA4CE3">
      <w:pPr>
        <w:pStyle w:val="Policybodytext"/>
        <w:numPr>
          <w:ilvl w:val="0"/>
          <w:numId w:val="27"/>
        </w:numPr>
      </w:pPr>
      <w:r>
        <w:t>There are no university academic entry requirements for domestic applicants.</w:t>
      </w:r>
    </w:p>
    <w:p w:rsidR="00FA4CE3" w:rsidRDefault="00FA4CE3" w:rsidP="00FA4CE3">
      <w:pPr>
        <w:pStyle w:val="Policybodytext"/>
        <w:numPr>
          <w:ilvl w:val="0"/>
          <w:numId w:val="27"/>
        </w:numPr>
      </w:pPr>
      <w:r>
        <w:t>All applicants must complete an approved language, literacy and numeracy test before enrolment.</w:t>
      </w:r>
    </w:p>
    <w:p w:rsidR="00FA4CE3" w:rsidRDefault="00FA4CE3" w:rsidP="00FA4CE3">
      <w:pPr>
        <w:pStyle w:val="Policybodytext"/>
        <w:numPr>
          <w:ilvl w:val="0"/>
          <w:numId w:val="27"/>
        </w:numPr>
      </w:pPr>
      <w:r>
        <w:t>International applicants must have completed Victorian Year 12 or approved equivalent.</w:t>
      </w:r>
    </w:p>
    <w:p w:rsidR="00FA4CE3" w:rsidRPr="00FA4CE3" w:rsidRDefault="00FA4CE3" w:rsidP="00FA4CE3">
      <w:pPr>
        <w:pStyle w:val="Policybodytext"/>
        <w:rPr>
          <w:b/>
        </w:rPr>
      </w:pPr>
      <w:r w:rsidRPr="00FA4CE3">
        <w:rPr>
          <w:b/>
        </w:rPr>
        <w:t>Apprenticeship and traineeship programs</w:t>
      </w:r>
    </w:p>
    <w:p w:rsidR="00FA4CE3" w:rsidRDefault="00FA4CE3" w:rsidP="00FA4CE3">
      <w:pPr>
        <w:pStyle w:val="Policybodytext"/>
        <w:numPr>
          <w:ilvl w:val="0"/>
          <w:numId w:val="27"/>
        </w:numPr>
      </w:pPr>
      <w:r>
        <w:t>Applicants must present a current, signed and valid Australian Apprenticeship Support Network Training Agreement.</w:t>
      </w:r>
    </w:p>
    <w:p w:rsidR="00FA4CE3" w:rsidRDefault="00FA4CE3" w:rsidP="00FA4CE3">
      <w:pPr>
        <w:pStyle w:val="Policybodytext"/>
        <w:numPr>
          <w:ilvl w:val="0"/>
          <w:numId w:val="27"/>
        </w:numPr>
      </w:pPr>
      <w:r>
        <w:t>All applicants must complete an approved language, literacy and numeracy test before enrolment.</w:t>
      </w:r>
    </w:p>
    <w:p w:rsidR="00631917" w:rsidRDefault="00631917">
      <w:pPr>
        <w:rPr>
          <w:rFonts w:ascii="Museo 300" w:hAnsi="Museo 300" w:cs="Arial"/>
          <w:kern w:val="32"/>
          <w:sz w:val="32"/>
          <w:szCs w:val="32"/>
        </w:rPr>
      </w:pPr>
      <w:r>
        <w:br w:type="page"/>
      </w:r>
    </w:p>
    <w:p w:rsidR="00FA4CE3" w:rsidRDefault="00FA4CE3" w:rsidP="00FA4CE3">
      <w:pPr>
        <w:pStyle w:val="Policyheading"/>
      </w:pPr>
      <w:bookmarkStart w:id="9" w:name="_Toc26441183"/>
      <w:r>
        <w:lastRenderedPageBreak/>
        <w:t>Schedule 5 - Minimum Academic Entry Requirements for Undergraduate Programs</w:t>
      </w:r>
      <w:bookmarkEnd w:id="9"/>
    </w:p>
    <w:p w:rsidR="00FA4CE3" w:rsidRDefault="00FA4CE3" w:rsidP="00FA4CE3">
      <w:pPr>
        <w:pStyle w:val="Policybodytext"/>
      </w:pPr>
      <w:r>
        <w:t>Where a qualification is stated below to meet a requirement, qualifications at higher AQF levels, or equivalent, also meet the requirement.</w:t>
      </w:r>
    </w:p>
    <w:p w:rsidR="00FA4CE3" w:rsidRDefault="00FA4CE3" w:rsidP="00FA4CE3">
      <w:pPr>
        <w:pStyle w:val="Policybodytext"/>
      </w:pPr>
      <w:r>
        <w:t>Associate degree and bachelor degree programs (including four year bachelor honours degree programs)</w:t>
      </w:r>
    </w:p>
    <w:p w:rsidR="00FA4CE3" w:rsidRDefault="00FA4CE3" w:rsidP="00FA4CE3">
      <w:pPr>
        <w:pStyle w:val="Policybodytext"/>
        <w:numPr>
          <w:ilvl w:val="0"/>
          <w:numId w:val="28"/>
        </w:numPr>
      </w:pPr>
      <w:r>
        <w:t>Applicants must have an Australian Senior Certificate of Education or one of the equivalent qualifications in the table below.</w:t>
      </w:r>
    </w:p>
    <w:p w:rsidR="00FA4CE3" w:rsidRDefault="00FA4CE3" w:rsidP="00FA4CE3">
      <w:pPr>
        <w:pStyle w:val="Policybodytext"/>
        <w:numPr>
          <w:ilvl w:val="0"/>
          <w:numId w:val="28"/>
        </w:numPr>
      </w:pPr>
      <w:r>
        <w:t>Alternatively, an applicant may satisfy the requirement if:</w:t>
      </w:r>
    </w:p>
    <w:p w:rsidR="00FA4CE3" w:rsidRDefault="00FA4CE3" w:rsidP="00FA4CE3">
      <w:pPr>
        <w:pStyle w:val="Policybodytext"/>
        <w:numPr>
          <w:ilvl w:val="1"/>
          <w:numId w:val="28"/>
        </w:numPr>
        <w:ind w:left="993" w:hanging="567"/>
      </w:pPr>
      <w:r>
        <w:t>they achieve an acceptable result in an approved aptitude test, or</w:t>
      </w:r>
    </w:p>
    <w:p w:rsidR="00FA4CE3" w:rsidRDefault="00FA4CE3" w:rsidP="00FA4CE3">
      <w:pPr>
        <w:pStyle w:val="Policybodytext"/>
        <w:numPr>
          <w:ilvl w:val="1"/>
          <w:numId w:val="28"/>
        </w:numPr>
        <w:ind w:left="993" w:hanging="567"/>
      </w:pPr>
      <w:r>
        <w:t>they provide evidence which satisfies the relevant manager of admission that they have sufficient work experience to enable them to complete their chosen program successfully.</w:t>
      </w:r>
    </w:p>
    <w:tbl>
      <w:tblPr>
        <w:tblpPr w:leftFromText="181" w:rightFromText="181" w:bottomFromText="170" w:vertAnchor="text" w:tblpY="1"/>
        <w:tblOverlap w:val="neve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93"/>
        <w:gridCol w:w="7115"/>
      </w:tblGrid>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FA4CE3" w:rsidRPr="00FA4CE3" w:rsidRDefault="00105C8D" w:rsidP="00105C8D">
            <w:pPr>
              <w:spacing w:before="60" w:after="60"/>
              <w:rPr>
                <w:rFonts w:ascii="HelveticaNeueLT Pro 45 Lt" w:hAnsi="HelveticaNeueLT Pro 45 Lt" w:cs="Arial"/>
                <w:b/>
                <w:bCs/>
                <w:color w:val="333333"/>
                <w:sz w:val="20"/>
                <w:szCs w:val="20"/>
              </w:rPr>
            </w:pPr>
            <w:r w:rsidRPr="00FA4CE3">
              <w:rPr>
                <w:rFonts w:ascii="HelveticaNeueLT Pro 45 Lt" w:hAnsi="HelveticaNeueLT Pro 45 Lt" w:cs="Arial"/>
                <w:b/>
                <w:bCs/>
                <w:color w:val="333333"/>
                <w:sz w:val="20"/>
                <w:szCs w:val="20"/>
              </w:rPr>
              <w:t>Qualification</w:t>
            </w:r>
            <w:r w:rsidR="00FA4CE3" w:rsidRPr="00FA4CE3">
              <w:rPr>
                <w:rFonts w:ascii="HelveticaNeueLT Pro 45 Lt" w:hAnsi="HelveticaNeueLT Pro 45 Lt" w:cs="Arial"/>
                <w:b/>
                <w:bCs/>
                <w:color w:val="333333"/>
                <w:sz w:val="20"/>
                <w:szCs w:val="20"/>
              </w:rPr>
              <w:t xml:space="preserve"> type</w:t>
            </w:r>
          </w:p>
        </w:tc>
        <w:tc>
          <w:tcPr>
            <w:tcW w:w="3949"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FA4CE3" w:rsidRPr="00FA4CE3" w:rsidRDefault="00FA4CE3" w:rsidP="00105C8D">
            <w:pPr>
              <w:spacing w:before="60" w:after="60"/>
              <w:rPr>
                <w:rFonts w:ascii="HelveticaNeueLT Pro 45 Lt" w:hAnsi="HelveticaNeueLT Pro 45 Lt" w:cs="Arial"/>
                <w:b/>
                <w:bCs/>
                <w:color w:val="333333"/>
                <w:sz w:val="20"/>
                <w:szCs w:val="20"/>
              </w:rPr>
            </w:pPr>
            <w:r w:rsidRPr="00FA4CE3">
              <w:rPr>
                <w:rFonts w:ascii="HelveticaNeueLT Pro 45 Lt" w:hAnsi="HelveticaNeueLT Pro 45 Lt" w:cs="Arial"/>
                <w:b/>
                <w:bCs/>
                <w:color w:val="333333"/>
                <w:sz w:val="20"/>
                <w:szCs w:val="20"/>
              </w:rPr>
              <w:t>Minimum academic requirement</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Australian Year 12 (Victoria)</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The Victorian Certificate of Education (VCE).</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Australian Year 12 (other states)</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The Australian Senior Certificate of Education for the State.</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New Zealand Year 13</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The National Certificate of Educational Achievement.</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International Baccalaureate Diploma</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The International Baccalaureate Diploma.</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Foundation Studies</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A Foundation Studies program offered by a registered TAFE, university or private provider that is accredited as a certificate IV or compliant with the Australian National Standards for Foundation Studies.</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International secondary schooling</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A qualification recognised by RMIT as equivalent to an Australian Senior Certificate of Education. See the Country equivalence webpage for recognised qualifications that are frequently presented by applicants.</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Australian higher education studies</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Satisfactory completion, on an award or nonaward basis at any university (including Open Universities Australia), of at least two courses (subjects) at undergraduate level equivalent in volume of learning to at least 24 RMIT University credit points.</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International tertiary studies</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Satisfactory completion of study equivalent to at least 48 RMIT credit points in a program assessed as equivalent to an Australian Qualifications Framework (AQF) qualification of Minimum academic entry requirements for undergraduate programs 5/1/2017 Page 2 of 2 at least AQF level 5.</w:t>
            </w:r>
          </w:p>
        </w:tc>
      </w:tr>
      <w:tr w:rsidR="00FA4CE3" w:rsidRPr="00FA4CE3" w:rsidTr="00105C8D">
        <w:tc>
          <w:tcPr>
            <w:tcW w:w="10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lastRenderedPageBreak/>
              <w:t>Australian vocational education studies</w:t>
            </w:r>
          </w:p>
        </w:tc>
        <w:tc>
          <w:tcPr>
            <w:tcW w:w="39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A4CE3" w:rsidRPr="00FA4CE3" w:rsidRDefault="00FA4CE3" w:rsidP="00105C8D">
            <w:pPr>
              <w:spacing w:before="60" w:after="60"/>
              <w:rPr>
                <w:rFonts w:ascii="HelveticaNeueLT Pro 45 Lt" w:hAnsi="HelveticaNeueLT Pro 45 Lt" w:cs="Arial"/>
                <w:color w:val="333333"/>
                <w:sz w:val="20"/>
                <w:szCs w:val="20"/>
              </w:rPr>
            </w:pPr>
            <w:r w:rsidRPr="00FA4CE3">
              <w:rPr>
                <w:rFonts w:ascii="HelveticaNeueLT Pro 45 Lt" w:hAnsi="HelveticaNeueLT Pro 45 Lt" w:cs="Arial"/>
                <w:color w:val="333333"/>
                <w:sz w:val="20"/>
                <w:szCs w:val="20"/>
              </w:rPr>
              <w:t>Satisfactory completion of an AQF accredited award at Certificate IV or above.</w:t>
            </w:r>
          </w:p>
        </w:tc>
      </w:tr>
    </w:tbl>
    <w:p w:rsidR="00105C8D" w:rsidRPr="00105C8D" w:rsidRDefault="00105C8D" w:rsidP="00105C8D">
      <w:pPr>
        <w:pStyle w:val="Policybodytext"/>
        <w:rPr>
          <w:b/>
        </w:rPr>
      </w:pPr>
      <w:r w:rsidRPr="00105C8D">
        <w:rPr>
          <w:b/>
        </w:rPr>
        <w:t>Double degrees</w:t>
      </w:r>
    </w:p>
    <w:p w:rsidR="00105C8D" w:rsidRDefault="00105C8D" w:rsidP="00105C8D">
      <w:pPr>
        <w:pStyle w:val="Policybodytext"/>
        <w:numPr>
          <w:ilvl w:val="0"/>
          <w:numId w:val="28"/>
        </w:numPr>
      </w:pPr>
      <w:r>
        <w:t>The level of achievement required for admission to a double degree will not be lower than the requirement for admission to either of the two component single degrees</w:t>
      </w:r>
    </w:p>
    <w:p w:rsidR="00105C8D" w:rsidRPr="00105C8D" w:rsidRDefault="00105C8D" w:rsidP="00105C8D">
      <w:pPr>
        <w:pStyle w:val="Policybodytext"/>
        <w:rPr>
          <w:b/>
        </w:rPr>
      </w:pPr>
      <w:r w:rsidRPr="00105C8D">
        <w:rPr>
          <w:b/>
        </w:rPr>
        <w:t>One-year bachelor honours programs</w:t>
      </w:r>
    </w:p>
    <w:p w:rsidR="00105C8D" w:rsidRDefault="00105C8D" w:rsidP="00105C8D">
      <w:pPr>
        <w:pStyle w:val="Policybodytext"/>
        <w:numPr>
          <w:ilvl w:val="0"/>
          <w:numId w:val="28"/>
        </w:numPr>
      </w:pPr>
      <w:r>
        <w:t>Applicants for one year bachelor honours programs must hold a bachelor degree in a relevant discipline with an RMIT grade point average of at least 2.0. Where, however, the honours year program is not designed as a pathway to research training, but only to enhance students’ preparation for their industry or profession, a lower GPA requirement may be approved by the Deputy Vice-Chancellor Education.</w:t>
      </w:r>
    </w:p>
    <w:p w:rsidR="00631917" w:rsidRDefault="00631917">
      <w:pPr>
        <w:rPr>
          <w:rFonts w:ascii="Museo 300" w:hAnsi="Museo 300" w:cs="Arial"/>
          <w:kern w:val="32"/>
          <w:sz w:val="32"/>
          <w:szCs w:val="32"/>
        </w:rPr>
      </w:pPr>
      <w:r>
        <w:br w:type="page"/>
      </w:r>
    </w:p>
    <w:p w:rsidR="00105C8D" w:rsidRDefault="00105C8D" w:rsidP="00105C8D">
      <w:pPr>
        <w:pStyle w:val="Policyheading"/>
      </w:pPr>
      <w:bookmarkStart w:id="10" w:name="_Toc26441184"/>
      <w:r>
        <w:lastRenderedPageBreak/>
        <w:t>Schedule 6 - Minimum Academic Entry Requirements for Postgraduate Coursework Programs</w:t>
      </w:r>
      <w:bookmarkEnd w:id="10"/>
    </w:p>
    <w:p w:rsidR="00105C8D" w:rsidRDefault="00105C8D" w:rsidP="00105C8D">
      <w:pPr>
        <w:pStyle w:val="Policybodytext"/>
      </w:pPr>
      <w:r>
        <w:t>Where a qualification is stated below to meet a requirement, qualifications at higher AQF levels, or equivalent, also meet the requirement.</w:t>
      </w:r>
    </w:p>
    <w:p w:rsidR="00105C8D" w:rsidRPr="00063AB1" w:rsidRDefault="00063AB1" w:rsidP="00105C8D">
      <w:pPr>
        <w:pStyle w:val="Policybodytext"/>
        <w:rPr>
          <w:b/>
        </w:rPr>
      </w:pPr>
      <w:r w:rsidRPr="00063AB1">
        <w:rPr>
          <w:b/>
        </w:rPr>
        <w:t>One-year</w:t>
      </w:r>
      <w:r w:rsidR="00105C8D" w:rsidRPr="00063AB1">
        <w:rPr>
          <w:b/>
        </w:rPr>
        <w:t xml:space="preserve"> bachelor honours year programs</w:t>
      </w:r>
    </w:p>
    <w:p w:rsidR="00105C8D" w:rsidRDefault="00105C8D" w:rsidP="00105C8D">
      <w:pPr>
        <w:pStyle w:val="Policybodytext"/>
      </w:pPr>
      <w:r>
        <w:t xml:space="preserve">See the </w:t>
      </w:r>
      <w:r w:rsidRPr="00063AB1">
        <w:rPr>
          <w:i/>
        </w:rPr>
        <w:t>University entry requirements for undergraduate programs</w:t>
      </w:r>
      <w:r>
        <w:t>.</w:t>
      </w:r>
    </w:p>
    <w:p w:rsidR="00105C8D" w:rsidRPr="00063AB1" w:rsidRDefault="00105C8D" w:rsidP="00105C8D">
      <w:pPr>
        <w:pStyle w:val="Policybodytext"/>
        <w:rPr>
          <w:b/>
        </w:rPr>
      </w:pPr>
      <w:r w:rsidRPr="00063AB1">
        <w:rPr>
          <w:b/>
        </w:rPr>
        <w:t>Graduate certificate and graduate diploma programs</w:t>
      </w:r>
    </w:p>
    <w:p w:rsidR="00105C8D" w:rsidRDefault="00105C8D" w:rsidP="00063AB1">
      <w:pPr>
        <w:pStyle w:val="Policybodytext"/>
        <w:numPr>
          <w:ilvl w:val="0"/>
          <w:numId w:val="29"/>
        </w:numPr>
      </w:pPr>
      <w:r>
        <w:t>Applicants for graduate certificate and graduate diploma programs must hold:</w:t>
      </w:r>
    </w:p>
    <w:p w:rsidR="00105C8D" w:rsidRDefault="00105C8D" w:rsidP="00063AB1">
      <w:pPr>
        <w:pStyle w:val="Policybodytext"/>
        <w:numPr>
          <w:ilvl w:val="1"/>
          <w:numId w:val="29"/>
        </w:numPr>
        <w:ind w:left="993" w:hanging="567"/>
      </w:pPr>
      <w:r>
        <w:t>a bachelor degree; or</w:t>
      </w:r>
    </w:p>
    <w:p w:rsidR="00105C8D" w:rsidRDefault="00105C8D" w:rsidP="00063AB1">
      <w:pPr>
        <w:pStyle w:val="Policybodytext"/>
        <w:numPr>
          <w:ilvl w:val="1"/>
          <w:numId w:val="29"/>
        </w:numPr>
        <w:ind w:left="993" w:hanging="567"/>
      </w:pPr>
      <w:r>
        <w:t>an appropriate level of advanced professional experience relevant to the discipline area.</w:t>
      </w:r>
    </w:p>
    <w:p w:rsidR="00105C8D" w:rsidRPr="00063AB1" w:rsidRDefault="00105C8D" w:rsidP="00105C8D">
      <w:pPr>
        <w:pStyle w:val="Policybodytext"/>
        <w:rPr>
          <w:b/>
        </w:rPr>
      </w:pPr>
      <w:r w:rsidRPr="00063AB1">
        <w:rPr>
          <w:b/>
        </w:rPr>
        <w:t>Master by coursework programs</w:t>
      </w:r>
    </w:p>
    <w:p w:rsidR="00105C8D" w:rsidRDefault="00105C8D" w:rsidP="00063AB1">
      <w:pPr>
        <w:pStyle w:val="Policybodytext"/>
        <w:numPr>
          <w:ilvl w:val="0"/>
          <w:numId w:val="29"/>
        </w:numPr>
      </w:pPr>
      <w:r>
        <w:t>Applicants for master by coursework programs must hold:</w:t>
      </w:r>
    </w:p>
    <w:p w:rsidR="00105C8D" w:rsidRDefault="00105C8D" w:rsidP="00063AB1">
      <w:pPr>
        <w:pStyle w:val="Policybodytext"/>
        <w:numPr>
          <w:ilvl w:val="1"/>
          <w:numId w:val="29"/>
        </w:numPr>
        <w:ind w:left="993" w:hanging="567"/>
      </w:pPr>
      <w:r>
        <w:t>a bachelor degree; or</w:t>
      </w:r>
    </w:p>
    <w:p w:rsidR="00105C8D" w:rsidRDefault="00105C8D" w:rsidP="00063AB1">
      <w:pPr>
        <w:pStyle w:val="Policybodytext"/>
        <w:numPr>
          <w:ilvl w:val="1"/>
          <w:numId w:val="29"/>
        </w:numPr>
        <w:ind w:left="993" w:hanging="567"/>
      </w:pPr>
      <w:r>
        <w:t>an appropriate level of advanced professional experience relevant to the discipline area.</w:t>
      </w:r>
    </w:p>
    <w:p w:rsidR="00105C8D" w:rsidRDefault="00105C8D" w:rsidP="00063AB1">
      <w:pPr>
        <w:pStyle w:val="Policybodytext"/>
        <w:numPr>
          <w:ilvl w:val="0"/>
          <w:numId w:val="29"/>
        </w:numPr>
      </w:pPr>
      <w:r>
        <w:t>Applicants for extended master programs must hold a bachelor degree.</w:t>
      </w:r>
    </w:p>
    <w:p w:rsidR="00631917" w:rsidRDefault="00631917">
      <w:pPr>
        <w:rPr>
          <w:rFonts w:ascii="Museo 300" w:hAnsi="Museo 300" w:cs="Arial"/>
          <w:kern w:val="32"/>
          <w:sz w:val="32"/>
          <w:szCs w:val="32"/>
        </w:rPr>
      </w:pPr>
      <w:r>
        <w:br w:type="page"/>
      </w:r>
    </w:p>
    <w:p w:rsidR="00105C8D" w:rsidRDefault="00105C8D" w:rsidP="00063AB1">
      <w:pPr>
        <w:pStyle w:val="Policyheading"/>
      </w:pPr>
      <w:bookmarkStart w:id="11" w:name="_Toc26441185"/>
      <w:r>
        <w:lastRenderedPageBreak/>
        <w:t>Schedule 7 - Minimum Academic Entry Requirements for Higher Degree by Research Programs</w:t>
      </w:r>
      <w:bookmarkEnd w:id="11"/>
    </w:p>
    <w:p w:rsidR="00105C8D" w:rsidRPr="00063AB1" w:rsidRDefault="00105C8D" w:rsidP="00105C8D">
      <w:pPr>
        <w:pStyle w:val="Policybodytext"/>
        <w:rPr>
          <w:b/>
        </w:rPr>
      </w:pPr>
      <w:r w:rsidRPr="00063AB1">
        <w:rPr>
          <w:b/>
        </w:rPr>
        <w:t>Master by research programs</w:t>
      </w:r>
    </w:p>
    <w:p w:rsidR="00105C8D" w:rsidRDefault="00105C8D" w:rsidP="001B5ACB">
      <w:pPr>
        <w:pStyle w:val="Policybodytext"/>
        <w:numPr>
          <w:ilvl w:val="0"/>
          <w:numId w:val="30"/>
        </w:numPr>
      </w:pPr>
      <w:r>
        <w:t>The minimum re</w:t>
      </w:r>
      <w:r w:rsidR="001B5ACB">
        <w:t>quirements for admission to a masters by r</w:t>
      </w:r>
      <w:r>
        <w:t>esearch program are:</w:t>
      </w:r>
    </w:p>
    <w:p w:rsidR="00105C8D" w:rsidRDefault="00105C8D" w:rsidP="001B5ACB">
      <w:pPr>
        <w:pStyle w:val="Policybodytext"/>
        <w:numPr>
          <w:ilvl w:val="1"/>
          <w:numId w:val="30"/>
        </w:numPr>
        <w:ind w:left="993" w:hanging="567"/>
      </w:pPr>
      <w:r>
        <w:t>a bachelor's degree requiring at least four years of full-time study in a relevant discipline awarded with honours. The degree should include a research component comprised of a thesis, other research projects or research methodology subjects that constitute at least 25% of a full time (or part time equivalent) academic year. The applicant must have achieved at least a credit average in the final year; or</w:t>
      </w:r>
    </w:p>
    <w:p w:rsidR="00105C8D" w:rsidRDefault="00105C8D" w:rsidP="001B5ACB">
      <w:pPr>
        <w:pStyle w:val="Policybodytext"/>
        <w:numPr>
          <w:ilvl w:val="1"/>
          <w:numId w:val="30"/>
        </w:numPr>
        <w:ind w:left="993" w:hanging="567"/>
      </w:pPr>
      <w:r>
        <w:t>evidence of appropriate academic qualifications and/or experience that satisfies the Associate Deputy Vice-Chancellor, Research Training and Development or nominee that the applicant has developed knowledge of the field of study or cognate field and the potential for research sufficient to undertake the proposed program.</w:t>
      </w:r>
    </w:p>
    <w:p w:rsidR="00105C8D" w:rsidRDefault="00105C8D" w:rsidP="001B5ACB">
      <w:pPr>
        <w:pStyle w:val="Policybodytext"/>
        <w:numPr>
          <w:ilvl w:val="0"/>
          <w:numId w:val="30"/>
        </w:numPr>
      </w:pPr>
      <w:r>
        <w:t>At RMIT a grade of Credit represents academic achievement of 60% or higher.</w:t>
      </w:r>
    </w:p>
    <w:p w:rsidR="00105C8D" w:rsidRPr="001B5ACB" w:rsidRDefault="00105C8D" w:rsidP="00105C8D">
      <w:pPr>
        <w:pStyle w:val="Policybodytext"/>
        <w:rPr>
          <w:b/>
        </w:rPr>
      </w:pPr>
      <w:r w:rsidRPr="001B5ACB">
        <w:rPr>
          <w:b/>
        </w:rPr>
        <w:t>Doctor of philosophy programs</w:t>
      </w:r>
    </w:p>
    <w:p w:rsidR="00105C8D" w:rsidRDefault="00105C8D" w:rsidP="001B5ACB">
      <w:pPr>
        <w:pStyle w:val="Policybodytext"/>
        <w:numPr>
          <w:ilvl w:val="0"/>
          <w:numId w:val="30"/>
        </w:numPr>
      </w:pPr>
      <w:r>
        <w:t>The minimum requirements for admission to a PhD program are:</w:t>
      </w:r>
    </w:p>
    <w:p w:rsidR="00105C8D" w:rsidRDefault="00105C8D" w:rsidP="001B5ACB">
      <w:pPr>
        <w:pStyle w:val="Policybodytext"/>
        <w:numPr>
          <w:ilvl w:val="1"/>
          <w:numId w:val="30"/>
        </w:numPr>
        <w:ind w:left="993" w:hanging="567"/>
      </w:pPr>
      <w:r>
        <w:t>a bachelor's degree requiring at least for years of full-time study in a relevant discipline awarded with honours. The degree should include a research component comprised of a thesis, other research projects or research methodology subjects that constitute at least 25% of a full time (or part time equivalent) academic year. The applicant must have achieved at least a distinction average in the final year; or</w:t>
      </w:r>
    </w:p>
    <w:p w:rsidR="00105C8D" w:rsidRDefault="00105C8D" w:rsidP="001B5ACB">
      <w:pPr>
        <w:pStyle w:val="Policybodytext"/>
        <w:numPr>
          <w:ilvl w:val="1"/>
          <w:numId w:val="30"/>
        </w:numPr>
        <w:ind w:left="993" w:hanging="567"/>
      </w:pPr>
      <w:r>
        <w:t>a master's degree that includes a research component comprised of at least 25% of a full time (or part time equivalent) academic year with an overall distinction average or a master's degree without a research component with at least a high distinction average; or</w:t>
      </w:r>
    </w:p>
    <w:p w:rsidR="00105C8D" w:rsidRDefault="00105C8D" w:rsidP="001B5ACB">
      <w:pPr>
        <w:pStyle w:val="Policybodytext"/>
        <w:numPr>
          <w:ilvl w:val="1"/>
          <w:numId w:val="30"/>
        </w:numPr>
        <w:ind w:left="993" w:hanging="567"/>
      </w:pPr>
      <w:r>
        <w:t>evidence of appropriate academic qualifications and/or experience that satisfies the Associate Deputy Vice-Chancellor, Research Training and Development or nominee that the applicant has developed knowledge of the field of study or cognate field and the potential for research sufficient to undertake the proposed program.</w:t>
      </w:r>
    </w:p>
    <w:p w:rsidR="00FA4CE3" w:rsidRPr="00FA4CE3" w:rsidRDefault="00105C8D" w:rsidP="001B5ACB">
      <w:pPr>
        <w:pStyle w:val="Policybodytext"/>
        <w:numPr>
          <w:ilvl w:val="0"/>
          <w:numId w:val="30"/>
        </w:numPr>
      </w:pPr>
      <w:r>
        <w:t>At RMIT a grade of Distinction represents academic achievement of 70% or higher and a High Distinction is 80% or higher.</w:t>
      </w:r>
    </w:p>
    <w:p w:rsidR="00631917" w:rsidRDefault="00631917">
      <w:pPr>
        <w:rPr>
          <w:rFonts w:ascii="Museo 300" w:hAnsi="Museo 300" w:cs="Arial"/>
          <w:kern w:val="32"/>
          <w:sz w:val="32"/>
          <w:szCs w:val="32"/>
        </w:rPr>
      </w:pPr>
      <w:r>
        <w:br w:type="page"/>
      </w:r>
    </w:p>
    <w:p w:rsidR="00EC062E" w:rsidRPr="001D1FB3" w:rsidRDefault="00BF2DF9" w:rsidP="001D1FB3">
      <w:pPr>
        <w:pStyle w:val="Policyheading"/>
        <w:contextualSpacing/>
      </w:pPr>
      <w:bookmarkStart w:id="12" w:name="_Toc26441133"/>
      <w:bookmarkStart w:id="13" w:name="_Toc26441186"/>
      <w:r w:rsidRPr="00EC062E">
        <w:lastRenderedPageBreak/>
        <w:t xml:space="preserve">Document </w:t>
      </w:r>
      <w:r w:rsidR="000A122F">
        <w:t>history</w:t>
      </w:r>
      <w:bookmarkEnd w:id="12"/>
      <w:bookmarkEnd w:id="13"/>
    </w:p>
    <w:tbl>
      <w:tblPr>
        <w:tblStyle w:val="TableGrid"/>
        <w:tblW w:w="5000" w:type="pct"/>
        <w:tblLook w:val="00A0" w:firstRow="1" w:lastRow="0" w:firstColumn="1" w:lastColumn="0" w:noHBand="0" w:noVBand="0"/>
      </w:tblPr>
      <w:tblGrid>
        <w:gridCol w:w="882"/>
        <w:gridCol w:w="1537"/>
        <w:gridCol w:w="1478"/>
        <w:gridCol w:w="3058"/>
        <w:gridCol w:w="2059"/>
      </w:tblGrid>
      <w:tr w:rsidR="00631917" w:rsidRPr="00650816" w:rsidTr="00F911B4">
        <w:tc>
          <w:tcPr>
            <w:tcW w:w="489" w:type="pct"/>
          </w:tcPr>
          <w:p w:rsidR="00631917" w:rsidRPr="00B16858" w:rsidRDefault="00631917" w:rsidP="001B5ACB">
            <w:pPr>
              <w:pStyle w:val="TableText"/>
              <w:spacing w:before="60" w:after="60"/>
              <w:jc w:val="left"/>
              <w:rPr>
                <w:b/>
              </w:rPr>
            </w:pPr>
            <w:r w:rsidRPr="00B16858">
              <w:rPr>
                <w:b/>
              </w:rPr>
              <w:t>Version</w:t>
            </w:r>
          </w:p>
        </w:tc>
        <w:tc>
          <w:tcPr>
            <w:tcW w:w="853" w:type="pct"/>
          </w:tcPr>
          <w:p w:rsidR="00631917" w:rsidRDefault="00631917" w:rsidP="001B5ACB">
            <w:pPr>
              <w:pStyle w:val="TableText"/>
              <w:spacing w:before="60" w:after="60"/>
              <w:rPr>
                <w:b/>
              </w:rPr>
            </w:pPr>
            <w:r>
              <w:rPr>
                <w:b/>
              </w:rPr>
              <w:t>Approval date</w:t>
            </w:r>
          </w:p>
        </w:tc>
        <w:tc>
          <w:tcPr>
            <w:tcW w:w="820" w:type="pct"/>
          </w:tcPr>
          <w:p w:rsidR="00631917" w:rsidRPr="00B16858" w:rsidRDefault="00631917" w:rsidP="001B5ACB">
            <w:pPr>
              <w:pStyle w:val="TableText"/>
              <w:spacing w:before="60" w:after="60"/>
              <w:jc w:val="left"/>
              <w:rPr>
                <w:b/>
              </w:rPr>
            </w:pPr>
            <w:r>
              <w:rPr>
                <w:b/>
              </w:rPr>
              <w:t>Effective date</w:t>
            </w:r>
          </w:p>
        </w:tc>
        <w:tc>
          <w:tcPr>
            <w:tcW w:w="1696" w:type="pct"/>
          </w:tcPr>
          <w:p w:rsidR="00631917" w:rsidRDefault="00631917" w:rsidP="001B5ACB">
            <w:pPr>
              <w:pStyle w:val="TableText"/>
              <w:spacing w:before="60" w:after="60"/>
              <w:rPr>
                <w:b/>
              </w:rPr>
            </w:pPr>
            <w:r>
              <w:rPr>
                <w:b/>
              </w:rPr>
              <w:t>Summary of changes</w:t>
            </w:r>
          </w:p>
        </w:tc>
        <w:tc>
          <w:tcPr>
            <w:tcW w:w="1142" w:type="pct"/>
          </w:tcPr>
          <w:p w:rsidR="00631917" w:rsidRPr="00B16858" w:rsidRDefault="00631917" w:rsidP="001B5ACB">
            <w:pPr>
              <w:pStyle w:val="TableText"/>
              <w:spacing w:before="60" w:after="60"/>
              <w:jc w:val="left"/>
              <w:rPr>
                <w:b/>
              </w:rPr>
            </w:pPr>
            <w:r>
              <w:rPr>
                <w:b/>
              </w:rPr>
              <w:t>Register reference</w:t>
            </w:r>
          </w:p>
        </w:tc>
      </w:tr>
      <w:tr w:rsidR="00631917" w:rsidRPr="00650816" w:rsidTr="00F911B4">
        <w:tc>
          <w:tcPr>
            <w:tcW w:w="489" w:type="pct"/>
          </w:tcPr>
          <w:p w:rsidR="00631917" w:rsidRDefault="00631917" w:rsidP="00BD3594">
            <w:pPr>
              <w:pStyle w:val="TableText"/>
              <w:spacing w:before="60" w:after="60"/>
              <w:jc w:val="left"/>
              <w:rPr>
                <w:rFonts w:cs="Arial"/>
              </w:rPr>
            </w:pPr>
            <w:r>
              <w:rPr>
                <w:rFonts w:cs="Arial"/>
              </w:rPr>
              <w:t>1.0</w:t>
            </w:r>
          </w:p>
        </w:tc>
        <w:tc>
          <w:tcPr>
            <w:tcW w:w="853" w:type="pct"/>
          </w:tcPr>
          <w:p w:rsidR="00631917" w:rsidRDefault="00631917" w:rsidP="00BD3594">
            <w:pPr>
              <w:pStyle w:val="TableText"/>
              <w:spacing w:before="60" w:after="60"/>
              <w:jc w:val="left"/>
              <w:rPr>
                <w:rFonts w:cs="Arial"/>
              </w:rPr>
            </w:pPr>
            <w:r>
              <w:rPr>
                <w:rFonts w:cs="Arial"/>
              </w:rPr>
              <w:t>5 September 2016</w:t>
            </w:r>
          </w:p>
        </w:tc>
        <w:tc>
          <w:tcPr>
            <w:tcW w:w="820" w:type="pct"/>
          </w:tcPr>
          <w:p w:rsidR="00631917" w:rsidRDefault="00631917" w:rsidP="00BD3594">
            <w:pPr>
              <w:pStyle w:val="TableText"/>
              <w:spacing w:before="60" w:after="60"/>
              <w:jc w:val="left"/>
              <w:rPr>
                <w:rFonts w:cs="Arial"/>
              </w:rPr>
            </w:pPr>
            <w:r>
              <w:rPr>
                <w:rFonts w:cs="Arial"/>
              </w:rPr>
              <w:t>1 January 2018</w:t>
            </w:r>
          </w:p>
        </w:tc>
        <w:tc>
          <w:tcPr>
            <w:tcW w:w="1696" w:type="pct"/>
          </w:tcPr>
          <w:p w:rsidR="00631917" w:rsidRDefault="00631917" w:rsidP="00BD3594">
            <w:pPr>
              <w:pStyle w:val="TableText"/>
              <w:spacing w:before="60" w:after="60"/>
              <w:jc w:val="left"/>
              <w:rPr>
                <w:rFonts w:cs="Arial"/>
              </w:rPr>
            </w:pPr>
            <w:r>
              <w:rPr>
                <w:rFonts w:cs="Arial"/>
              </w:rPr>
              <w:t>New schedule to policy</w:t>
            </w:r>
          </w:p>
        </w:tc>
        <w:tc>
          <w:tcPr>
            <w:tcW w:w="1142" w:type="pct"/>
          </w:tcPr>
          <w:p w:rsidR="00631917" w:rsidRDefault="00631917" w:rsidP="00BD3594">
            <w:pPr>
              <w:pStyle w:val="TableText"/>
              <w:spacing w:before="60" w:after="60"/>
              <w:jc w:val="left"/>
              <w:rPr>
                <w:rFonts w:cs="Arial"/>
              </w:rPr>
            </w:pPr>
            <w:r>
              <w:rPr>
                <w:rFonts w:cs="Arial"/>
              </w:rPr>
              <w:t>POL/2018/00070[V1]</w:t>
            </w:r>
          </w:p>
        </w:tc>
      </w:tr>
      <w:tr w:rsidR="00631917" w:rsidRPr="00650816" w:rsidTr="00F911B4">
        <w:tc>
          <w:tcPr>
            <w:tcW w:w="489" w:type="pct"/>
          </w:tcPr>
          <w:p w:rsidR="00631917" w:rsidRDefault="00631917" w:rsidP="00BD3594">
            <w:pPr>
              <w:pStyle w:val="TableText"/>
              <w:spacing w:before="60" w:after="60"/>
              <w:jc w:val="left"/>
              <w:rPr>
                <w:rFonts w:cs="Arial"/>
              </w:rPr>
            </w:pPr>
            <w:r>
              <w:rPr>
                <w:rFonts w:cs="Arial"/>
              </w:rPr>
              <w:t>1.1</w:t>
            </w:r>
          </w:p>
        </w:tc>
        <w:tc>
          <w:tcPr>
            <w:tcW w:w="853" w:type="pct"/>
          </w:tcPr>
          <w:p w:rsidR="00631917" w:rsidRDefault="00631917" w:rsidP="00BD3594">
            <w:pPr>
              <w:pStyle w:val="TableText"/>
              <w:spacing w:before="60" w:after="60"/>
              <w:jc w:val="left"/>
              <w:rPr>
                <w:rFonts w:cs="Arial"/>
              </w:rPr>
            </w:pPr>
            <w:r>
              <w:rPr>
                <w:rFonts w:cs="Arial"/>
              </w:rPr>
              <w:t>12 July 2017</w:t>
            </w:r>
          </w:p>
        </w:tc>
        <w:tc>
          <w:tcPr>
            <w:tcW w:w="820" w:type="pct"/>
          </w:tcPr>
          <w:p w:rsidR="00631917" w:rsidRDefault="00631917" w:rsidP="00BD3594">
            <w:pPr>
              <w:pStyle w:val="TableText"/>
              <w:spacing w:before="60" w:after="60"/>
              <w:jc w:val="left"/>
              <w:rPr>
                <w:rFonts w:cs="Arial"/>
              </w:rPr>
            </w:pPr>
            <w:r>
              <w:rPr>
                <w:rFonts w:cs="Arial"/>
              </w:rPr>
              <w:t>2 October 2018</w:t>
            </w:r>
          </w:p>
        </w:tc>
        <w:tc>
          <w:tcPr>
            <w:tcW w:w="1696" w:type="pct"/>
          </w:tcPr>
          <w:p w:rsidR="00631917" w:rsidRDefault="00F911B4" w:rsidP="00BD3594">
            <w:pPr>
              <w:pStyle w:val="TableText"/>
              <w:spacing w:before="60" w:after="60"/>
              <w:jc w:val="left"/>
              <w:rPr>
                <w:rFonts w:cs="Arial"/>
              </w:rPr>
            </w:pPr>
            <w:r>
              <w:rPr>
                <w:rFonts w:cs="Arial"/>
              </w:rPr>
              <w:t>Amendment to HDR minimum entry requirements</w:t>
            </w:r>
          </w:p>
        </w:tc>
        <w:tc>
          <w:tcPr>
            <w:tcW w:w="1142" w:type="pct"/>
          </w:tcPr>
          <w:p w:rsidR="00631917" w:rsidRDefault="00631917" w:rsidP="00BD3594">
            <w:pPr>
              <w:pStyle w:val="TableText"/>
              <w:spacing w:before="60" w:after="60"/>
              <w:jc w:val="left"/>
              <w:rPr>
                <w:rFonts w:cs="Arial"/>
              </w:rPr>
            </w:pPr>
            <w:r>
              <w:rPr>
                <w:rFonts w:cs="Arial"/>
              </w:rPr>
              <w:t>POL/2018/00070[V2]</w:t>
            </w:r>
          </w:p>
        </w:tc>
      </w:tr>
      <w:tr w:rsidR="00631917" w:rsidRPr="00650816" w:rsidTr="00F911B4">
        <w:tc>
          <w:tcPr>
            <w:tcW w:w="489" w:type="pct"/>
          </w:tcPr>
          <w:p w:rsidR="00631917" w:rsidRDefault="00631917" w:rsidP="00BD3594">
            <w:pPr>
              <w:pStyle w:val="TableText"/>
              <w:spacing w:before="60" w:after="60"/>
              <w:jc w:val="left"/>
              <w:rPr>
                <w:rFonts w:cs="Arial"/>
              </w:rPr>
            </w:pPr>
            <w:r>
              <w:rPr>
                <w:rFonts w:cs="Arial"/>
              </w:rPr>
              <w:t>1.2</w:t>
            </w:r>
          </w:p>
        </w:tc>
        <w:tc>
          <w:tcPr>
            <w:tcW w:w="853" w:type="pct"/>
          </w:tcPr>
          <w:p w:rsidR="00631917" w:rsidRDefault="00F911B4" w:rsidP="00BD3594">
            <w:pPr>
              <w:pStyle w:val="TableText"/>
              <w:spacing w:before="60" w:after="60"/>
              <w:jc w:val="left"/>
              <w:rPr>
                <w:rFonts w:cs="Arial"/>
              </w:rPr>
            </w:pPr>
            <w:r>
              <w:rPr>
                <w:rFonts w:cs="Arial"/>
              </w:rPr>
              <w:t>2 March 2019</w:t>
            </w:r>
          </w:p>
        </w:tc>
        <w:tc>
          <w:tcPr>
            <w:tcW w:w="820" w:type="pct"/>
          </w:tcPr>
          <w:p w:rsidR="00631917" w:rsidRDefault="00631917" w:rsidP="00BD3594">
            <w:pPr>
              <w:pStyle w:val="TableText"/>
              <w:spacing w:before="60" w:after="60"/>
              <w:jc w:val="left"/>
              <w:rPr>
                <w:rFonts w:cs="Arial"/>
              </w:rPr>
            </w:pPr>
            <w:r>
              <w:rPr>
                <w:rFonts w:cs="Arial"/>
              </w:rPr>
              <w:t>6 March 2019</w:t>
            </w:r>
          </w:p>
        </w:tc>
        <w:tc>
          <w:tcPr>
            <w:tcW w:w="1696" w:type="pct"/>
          </w:tcPr>
          <w:p w:rsidR="00631917" w:rsidRDefault="00F911B4" w:rsidP="00BD3594">
            <w:pPr>
              <w:pStyle w:val="TableText"/>
              <w:spacing w:before="60" w:after="60"/>
              <w:jc w:val="left"/>
              <w:rPr>
                <w:rFonts w:cs="Arial"/>
              </w:rPr>
            </w:pPr>
            <w:r>
              <w:rPr>
                <w:rFonts w:cs="Arial"/>
              </w:rPr>
              <w:t>A</w:t>
            </w:r>
            <w:r w:rsidRPr="00F911B4">
              <w:rPr>
                <w:rFonts w:cs="Arial"/>
              </w:rPr>
              <w:t>mend</w:t>
            </w:r>
            <w:r>
              <w:rPr>
                <w:rFonts w:cs="Arial"/>
              </w:rPr>
              <w:t>ment to</w:t>
            </w:r>
            <w:r w:rsidRPr="00F911B4">
              <w:rPr>
                <w:rFonts w:cs="Arial"/>
              </w:rPr>
              <w:t xml:space="preserve"> academic policy authorities</w:t>
            </w:r>
          </w:p>
        </w:tc>
        <w:tc>
          <w:tcPr>
            <w:tcW w:w="1142" w:type="pct"/>
          </w:tcPr>
          <w:p w:rsidR="00631917" w:rsidRDefault="00631917" w:rsidP="00BD3594">
            <w:pPr>
              <w:pStyle w:val="TableText"/>
              <w:spacing w:before="60" w:after="60"/>
              <w:jc w:val="left"/>
              <w:rPr>
                <w:rFonts w:cs="Arial"/>
              </w:rPr>
            </w:pPr>
            <w:r>
              <w:rPr>
                <w:rFonts w:cs="Arial"/>
              </w:rPr>
              <w:t>POL/2018/00070[V3]</w:t>
            </w:r>
          </w:p>
        </w:tc>
      </w:tr>
      <w:tr w:rsidR="00631917" w:rsidRPr="00650816" w:rsidTr="00F911B4">
        <w:tc>
          <w:tcPr>
            <w:tcW w:w="489" w:type="pct"/>
          </w:tcPr>
          <w:p w:rsidR="00631917" w:rsidRPr="00234D63" w:rsidRDefault="00631917" w:rsidP="00BD3594">
            <w:pPr>
              <w:pStyle w:val="TableText"/>
              <w:spacing w:before="60" w:after="60"/>
              <w:jc w:val="left"/>
              <w:rPr>
                <w:rFonts w:cs="Arial"/>
              </w:rPr>
            </w:pPr>
            <w:r>
              <w:rPr>
                <w:rFonts w:cs="Arial"/>
              </w:rPr>
              <w:t>1.3</w:t>
            </w:r>
          </w:p>
        </w:tc>
        <w:tc>
          <w:tcPr>
            <w:tcW w:w="853" w:type="pct"/>
          </w:tcPr>
          <w:p w:rsidR="00631917" w:rsidRDefault="00F911B4" w:rsidP="00BD3594">
            <w:pPr>
              <w:pStyle w:val="TableText"/>
              <w:spacing w:before="60" w:after="60"/>
              <w:jc w:val="left"/>
              <w:rPr>
                <w:rFonts w:cs="Arial"/>
              </w:rPr>
            </w:pPr>
            <w:r>
              <w:rPr>
                <w:rFonts w:cs="Arial"/>
              </w:rPr>
              <w:t>25 November 2019</w:t>
            </w:r>
            <w:bookmarkStart w:id="14" w:name="_GoBack"/>
            <w:bookmarkEnd w:id="14"/>
          </w:p>
        </w:tc>
        <w:tc>
          <w:tcPr>
            <w:tcW w:w="820" w:type="pct"/>
          </w:tcPr>
          <w:p w:rsidR="00631917" w:rsidRPr="00234D63" w:rsidRDefault="00631917" w:rsidP="00BD3594">
            <w:pPr>
              <w:pStyle w:val="TableText"/>
              <w:spacing w:before="60" w:after="60"/>
              <w:jc w:val="left"/>
              <w:rPr>
                <w:rFonts w:cs="Arial"/>
              </w:rPr>
            </w:pPr>
            <w:r>
              <w:rPr>
                <w:rFonts w:cs="Arial"/>
              </w:rPr>
              <w:t>5 December 2019</w:t>
            </w:r>
          </w:p>
        </w:tc>
        <w:tc>
          <w:tcPr>
            <w:tcW w:w="1696" w:type="pct"/>
          </w:tcPr>
          <w:p w:rsidR="00631917" w:rsidRDefault="00F911B4" w:rsidP="00BD3594">
            <w:pPr>
              <w:pStyle w:val="TableText"/>
              <w:spacing w:before="60" w:after="60"/>
              <w:jc w:val="left"/>
              <w:rPr>
                <w:rFonts w:cs="Arial"/>
              </w:rPr>
            </w:pPr>
            <w:r>
              <w:rPr>
                <w:rFonts w:cs="Arial"/>
              </w:rPr>
              <w:t>Amendment to Schedule 2</w:t>
            </w:r>
          </w:p>
        </w:tc>
        <w:tc>
          <w:tcPr>
            <w:tcW w:w="1142" w:type="pct"/>
          </w:tcPr>
          <w:p w:rsidR="00631917" w:rsidRPr="00234D63" w:rsidRDefault="00631917" w:rsidP="00BD3594">
            <w:pPr>
              <w:pStyle w:val="TableText"/>
              <w:spacing w:before="60" w:after="60"/>
              <w:jc w:val="left"/>
              <w:rPr>
                <w:rFonts w:cs="Arial"/>
              </w:rPr>
            </w:pPr>
            <w:r>
              <w:rPr>
                <w:rFonts w:cs="Arial"/>
              </w:rPr>
              <w:t>POL/2018/00070[V4]</w:t>
            </w:r>
          </w:p>
        </w:tc>
      </w:tr>
      <w:tr w:rsidR="002579F1" w:rsidRPr="00650816" w:rsidTr="00F911B4">
        <w:tc>
          <w:tcPr>
            <w:tcW w:w="489" w:type="pct"/>
          </w:tcPr>
          <w:p w:rsidR="002579F1" w:rsidRDefault="002579F1" w:rsidP="00BD3594">
            <w:pPr>
              <w:pStyle w:val="TableText"/>
              <w:spacing w:before="60" w:after="60"/>
              <w:jc w:val="left"/>
              <w:rPr>
                <w:rFonts w:cs="Arial"/>
              </w:rPr>
            </w:pPr>
            <w:r>
              <w:rPr>
                <w:rFonts w:cs="Arial"/>
              </w:rPr>
              <w:t>1.4</w:t>
            </w:r>
          </w:p>
        </w:tc>
        <w:tc>
          <w:tcPr>
            <w:tcW w:w="853" w:type="pct"/>
          </w:tcPr>
          <w:p w:rsidR="002579F1" w:rsidRDefault="002579F1" w:rsidP="00BD3594">
            <w:pPr>
              <w:pStyle w:val="TableText"/>
              <w:spacing w:before="60" w:after="60"/>
              <w:jc w:val="left"/>
              <w:rPr>
                <w:rFonts w:cs="Arial"/>
              </w:rPr>
            </w:pPr>
            <w:r>
              <w:rPr>
                <w:rFonts w:cs="Arial"/>
              </w:rPr>
              <w:t>18 February 2020</w:t>
            </w:r>
          </w:p>
        </w:tc>
        <w:tc>
          <w:tcPr>
            <w:tcW w:w="820" w:type="pct"/>
          </w:tcPr>
          <w:p w:rsidR="002579F1" w:rsidRDefault="002579F1" w:rsidP="00BD3594">
            <w:pPr>
              <w:pStyle w:val="TableText"/>
              <w:spacing w:before="60" w:after="60"/>
              <w:jc w:val="left"/>
              <w:rPr>
                <w:rFonts w:cs="Arial"/>
              </w:rPr>
            </w:pPr>
            <w:r>
              <w:rPr>
                <w:rFonts w:cs="Arial"/>
              </w:rPr>
              <w:t>19 February 2020</w:t>
            </w:r>
          </w:p>
        </w:tc>
        <w:tc>
          <w:tcPr>
            <w:tcW w:w="1696" w:type="pct"/>
          </w:tcPr>
          <w:p w:rsidR="002579F1" w:rsidRDefault="002579F1" w:rsidP="00BD3594">
            <w:pPr>
              <w:pStyle w:val="TableText"/>
              <w:spacing w:before="60" w:after="60"/>
              <w:jc w:val="left"/>
              <w:rPr>
                <w:rFonts w:cs="Arial"/>
              </w:rPr>
            </w:pPr>
            <w:r>
              <w:rPr>
                <w:rFonts w:cs="Arial"/>
              </w:rPr>
              <w:t>Amendment to Schedule 1</w:t>
            </w:r>
          </w:p>
        </w:tc>
        <w:tc>
          <w:tcPr>
            <w:tcW w:w="1142" w:type="pct"/>
          </w:tcPr>
          <w:p w:rsidR="002579F1" w:rsidRDefault="002579F1" w:rsidP="00BD3594">
            <w:pPr>
              <w:pStyle w:val="TableText"/>
              <w:spacing w:before="60" w:after="60"/>
              <w:jc w:val="left"/>
              <w:rPr>
                <w:rFonts w:cs="Arial"/>
              </w:rPr>
            </w:pPr>
            <w:r>
              <w:rPr>
                <w:rFonts w:cs="Arial"/>
              </w:rPr>
              <w:t>POL/2018/00070[V5]</w:t>
            </w:r>
          </w:p>
        </w:tc>
      </w:tr>
      <w:bookmarkEnd w:id="0"/>
      <w:bookmarkEnd w:id="1"/>
      <w:bookmarkEnd w:id="2"/>
      <w:bookmarkEnd w:id="3"/>
    </w:tbl>
    <w:p w:rsidR="00E41A6D" w:rsidRPr="00E41A6D" w:rsidRDefault="00E41A6D" w:rsidP="00350C7D">
      <w:pPr>
        <w:pStyle w:val="Policybullet"/>
        <w:numPr>
          <w:ilvl w:val="0"/>
          <w:numId w:val="0"/>
        </w:numPr>
        <w:contextualSpacing/>
        <w:rPr>
          <w:rStyle w:val="Hyperlink"/>
          <w:color w:val="auto"/>
          <w:sz w:val="20"/>
          <w:u w:val="none"/>
        </w:rPr>
      </w:pPr>
    </w:p>
    <w:sectPr w:rsidR="00E41A6D" w:rsidRPr="00E41A6D" w:rsidSect="00EF0800">
      <w:headerReference w:type="even" r:id="rId8"/>
      <w:footerReference w:type="default" r:id="rId9"/>
      <w:headerReference w:type="first" r:id="rId10"/>
      <w:footerReference w:type="first" r:id="rId11"/>
      <w:pgSz w:w="11904" w:h="16834" w:code="9"/>
      <w:pgMar w:top="1440" w:right="1440" w:bottom="1440" w:left="1440" w:header="680"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546" w:rsidRDefault="009A5546">
      <w:r>
        <w:separator/>
      </w:r>
    </w:p>
    <w:p w:rsidR="009A5546" w:rsidRDefault="009A5546"/>
  </w:endnote>
  <w:endnote w:type="continuationSeparator" w:id="0">
    <w:p w:rsidR="009A5546" w:rsidRDefault="009A5546">
      <w:r>
        <w:continuationSeparator/>
      </w:r>
    </w:p>
    <w:p w:rsidR="009A5546" w:rsidRDefault="009A5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HelveticaNeueLT Pro 45 Lt">
    <w:panose1 w:val="020B0403020202020204"/>
    <w:charset w:val="00"/>
    <w:family w:val="swiss"/>
    <w:notTrueType/>
    <w:pitch w:val="variable"/>
    <w:sig w:usb0="800000AF" w:usb1="5000204A" w:usb2="00000000" w:usb3="00000000" w:csb0="0000009B" w:csb1="00000000"/>
  </w:font>
  <w:font w:name="Museo 300">
    <w:panose1 w:val="02000000000000000000"/>
    <w:charset w:val="00"/>
    <w:family w:val="auto"/>
    <w:pitch w:val="variable"/>
    <w:sig w:usb0="A00000AF" w:usb1="4000004A" w:usb2="00000000" w:usb3="00000000" w:csb0="00000093" w:csb1="00000000"/>
  </w:font>
  <w:font w:name="Museo 700">
    <w:panose1 w:val="02000000000000000000"/>
    <w:charset w:val="00"/>
    <w:family w:val="auto"/>
    <w:pitch w:val="variable"/>
    <w:sig w:usb0="A00000AF" w:usb1="4000004A" w:usb2="00000000" w:usb3="00000000" w:csb0="00000093"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FD" w:rsidRPr="00FF72C0" w:rsidRDefault="00FA4CE3" w:rsidP="00A13912">
    <w:pPr>
      <w:pBdr>
        <w:top w:val="single" w:sz="4" w:space="1" w:color="7F7F7F" w:themeColor="text1" w:themeTint="80"/>
      </w:pBdr>
      <w:tabs>
        <w:tab w:val="right" w:pos="9356"/>
      </w:tabs>
      <w:spacing w:after="0"/>
      <w:rPr>
        <w:color w:val="808080" w:themeColor="background1" w:themeShade="80"/>
        <w:sz w:val="16"/>
      </w:rPr>
    </w:pPr>
    <w:r>
      <w:rPr>
        <w:color w:val="808080" w:themeColor="background1" w:themeShade="80"/>
        <w:sz w:val="16"/>
      </w:rPr>
      <w:t xml:space="preserve">Admission </w:t>
    </w:r>
    <w:r w:rsidR="00FD676D">
      <w:rPr>
        <w:color w:val="808080" w:themeColor="background1" w:themeShade="80"/>
        <w:sz w:val="16"/>
      </w:rPr>
      <w:t>and Credit Policy Schedules 1-</w:t>
    </w:r>
    <w:r>
      <w:rPr>
        <w:color w:val="808080" w:themeColor="background1" w:themeShade="80"/>
        <w:sz w:val="16"/>
      </w:rPr>
      <w:t>7</w:t>
    </w:r>
    <w:r w:rsidR="00784A1F">
      <w:rPr>
        <w:color w:val="808080" w:themeColor="background1" w:themeShade="80"/>
        <w:sz w:val="16"/>
      </w:rPr>
      <w:t xml:space="preserve"> v1.</w:t>
    </w:r>
    <w:r w:rsidR="002579F1">
      <w:rPr>
        <w:color w:val="808080" w:themeColor="background1" w:themeShade="80"/>
        <w:sz w:val="16"/>
      </w:rPr>
      <w:t>4</w:t>
    </w:r>
  </w:p>
  <w:p w:rsidR="007476FD" w:rsidRPr="00FF72C0" w:rsidRDefault="00AC731B" w:rsidP="00E94262">
    <w:pPr>
      <w:pBdr>
        <w:top w:val="single" w:sz="4" w:space="1" w:color="7F7F7F" w:themeColor="text1" w:themeTint="80"/>
      </w:pBdr>
      <w:tabs>
        <w:tab w:val="right" w:pos="14849"/>
      </w:tabs>
      <w:spacing w:after="0"/>
      <w:rPr>
        <w:color w:val="808080" w:themeColor="background1" w:themeShade="80"/>
        <w:sz w:val="16"/>
      </w:rPr>
    </w:pPr>
    <w:r>
      <w:rPr>
        <w:color w:val="808080" w:themeColor="background1" w:themeShade="80"/>
        <w:sz w:val="16"/>
      </w:rPr>
      <w:t xml:space="preserve">Effective Date: </w:t>
    </w:r>
    <w:r w:rsidR="002579F1">
      <w:rPr>
        <w:color w:val="808080" w:themeColor="background1" w:themeShade="80"/>
        <w:sz w:val="16"/>
      </w:rPr>
      <w:t>19 February 2020</w:t>
    </w:r>
    <w:r>
      <w:rPr>
        <w:color w:val="808080" w:themeColor="background1" w:themeShade="80"/>
        <w:sz w:val="16"/>
      </w:rPr>
      <w:tab/>
      <w:t xml:space="preserve">Review Date: </w:t>
    </w:r>
    <w:r w:rsidR="00784A1F">
      <w:rPr>
        <w:color w:val="808080" w:themeColor="background1" w:themeShade="80"/>
        <w:sz w:val="16"/>
      </w:rPr>
      <w:t>5 September 2019</w:t>
    </w:r>
  </w:p>
  <w:p w:rsidR="007476FD" w:rsidRPr="00FF72C0" w:rsidRDefault="007476FD" w:rsidP="001D1ADB">
    <w:pPr>
      <w:pBdr>
        <w:top w:val="single" w:sz="4" w:space="1" w:color="7F7F7F" w:themeColor="text1" w:themeTint="80"/>
      </w:pBdr>
      <w:tabs>
        <w:tab w:val="right" w:pos="9356"/>
      </w:tabs>
      <w:spacing w:after="0"/>
      <w:jc w:val="right"/>
      <w:rPr>
        <w:color w:val="808080" w:themeColor="background1" w:themeShade="80"/>
        <w:sz w:val="16"/>
      </w:rPr>
    </w:pPr>
    <w:r w:rsidRPr="00FF72C0">
      <w:rPr>
        <w:color w:val="808080" w:themeColor="background1" w:themeShade="80"/>
        <w:sz w:val="16"/>
        <w:szCs w:val="13"/>
      </w:rPr>
      <w:t xml:space="preserve">Page </w:t>
    </w:r>
    <w:r w:rsidRPr="00FF72C0">
      <w:rPr>
        <w:b/>
        <w:color w:val="808080" w:themeColor="background1" w:themeShade="80"/>
        <w:sz w:val="16"/>
        <w:szCs w:val="13"/>
      </w:rPr>
      <w:fldChar w:fldCharType="begin"/>
    </w:r>
    <w:r w:rsidRPr="00FF72C0">
      <w:rPr>
        <w:b/>
        <w:color w:val="808080" w:themeColor="background1" w:themeShade="80"/>
        <w:sz w:val="16"/>
        <w:szCs w:val="13"/>
      </w:rPr>
      <w:instrText xml:space="preserve"> PAGE </w:instrText>
    </w:r>
    <w:r w:rsidRPr="00FF72C0">
      <w:rPr>
        <w:b/>
        <w:color w:val="808080" w:themeColor="background1" w:themeShade="80"/>
        <w:sz w:val="16"/>
        <w:szCs w:val="13"/>
      </w:rPr>
      <w:fldChar w:fldCharType="separate"/>
    </w:r>
    <w:r w:rsidR="006F3FA3">
      <w:rPr>
        <w:b/>
        <w:noProof/>
        <w:color w:val="808080" w:themeColor="background1" w:themeShade="80"/>
        <w:sz w:val="16"/>
        <w:szCs w:val="13"/>
      </w:rPr>
      <w:t>2</w:t>
    </w:r>
    <w:r w:rsidRPr="00FF72C0">
      <w:rPr>
        <w:b/>
        <w:color w:val="808080" w:themeColor="background1" w:themeShade="80"/>
        <w:sz w:val="16"/>
        <w:szCs w:val="13"/>
      </w:rPr>
      <w:fldChar w:fldCharType="end"/>
    </w:r>
    <w:r w:rsidRPr="00FF72C0">
      <w:rPr>
        <w:color w:val="808080" w:themeColor="background1" w:themeShade="80"/>
        <w:sz w:val="16"/>
        <w:szCs w:val="13"/>
      </w:rPr>
      <w:t xml:space="preserve"> of </w:t>
    </w:r>
    <w:r w:rsidRPr="00FF72C0">
      <w:rPr>
        <w:b/>
        <w:color w:val="808080" w:themeColor="background1" w:themeShade="80"/>
        <w:sz w:val="16"/>
        <w:szCs w:val="13"/>
      </w:rPr>
      <w:fldChar w:fldCharType="begin"/>
    </w:r>
    <w:r w:rsidRPr="00FF72C0">
      <w:rPr>
        <w:b/>
        <w:color w:val="808080" w:themeColor="background1" w:themeShade="80"/>
        <w:sz w:val="16"/>
        <w:szCs w:val="13"/>
      </w:rPr>
      <w:instrText xml:space="preserve"> NUMPAGES  </w:instrText>
    </w:r>
    <w:r w:rsidRPr="00FF72C0">
      <w:rPr>
        <w:b/>
        <w:color w:val="808080" w:themeColor="background1" w:themeShade="80"/>
        <w:sz w:val="16"/>
        <w:szCs w:val="13"/>
      </w:rPr>
      <w:fldChar w:fldCharType="separate"/>
    </w:r>
    <w:r w:rsidR="006F3FA3">
      <w:rPr>
        <w:b/>
        <w:noProof/>
        <w:color w:val="808080" w:themeColor="background1" w:themeShade="80"/>
        <w:sz w:val="16"/>
        <w:szCs w:val="13"/>
      </w:rPr>
      <w:t>2</w:t>
    </w:r>
    <w:r w:rsidRPr="00FF72C0">
      <w:rPr>
        <w:b/>
        <w:color w:val="808080" w:themeColor="background1" w:themeShade="80"/>
        <w:sz w:val="16"/>
        <w:szCs w:val="13"/>
      </w:rPr>
      <w:fldChar w:fldCharType="end"/>
    </w:r>
  </w:p>
  <w:p w:rsidR="00632B64" w:rsidRPr="00EF0800" w:rsidRDefault="007476FD" w:rsidP="00EF0800">
    <w:pPr>
      <w:pBdr>
        <w:top w:val="single" w:sz="4" w:space="1" w:color="7F7F7F" w:themeColor="text1" w:themeTint="80"/>
      </w:pBdr>
      <w:tabs>
        <w:tab w:val="right" w:pos="9356"/>
      </w:tabs>
      <w:spacing w:after="0"/>
      <w:jc w:val="center"/>
      <w:rPr>
        <w:color w:val="808080" w:themeColor="background1" w:themeShade="80"/>
        <w:sz w:val="16"/>
      </w:rPr>
    </w:pPr>
    <w:r w:rsidRPr="00FF72C0">
      <w:rPr>
        <w:color w:val="808080" w:themeColor="background1" w:themeShade="80"/>
        <w:sz w:val="16"/>
      </w:rPr>
      <w:t xml:space="preserve">For the </w:t>
    </w:r>
    <w:r w:rsidRPr="00FF72C0">
      <w:rPr>
        <w:b/>
        <w:color w:val="808080" w:themeColor="background1" w:themeShade="80"/>
        <w:sz w:val="16"/>
      </w:rPr>
      <w:t>latest</w:t>
    </w:r>
    <w:r w:rsidRPr="00FF72C0">
      <w:rPr>
        <w:color w:val="808080" w:themeColor="background1" w:themeShade="80"/>
        <w:sz w:val="16"/>
      </w:rPr>
      <w:t xml:space="preserve"> version of this document please go</w:t>
    </w:r>
    <w:r w:rsidR="00FA4CE3">
      <w:rPr>
        <w:color w:val="808080" w:themeColor="background1" w:themeShade="80"/>
        <w:sz w:val="16"/>
      </w:rPr>
      <w:t xml:space="preserve"> to</w:t>
    </w:r>
    <w:r w:rsidRPr="00FF72C0">
      <w:rPr>
        <w:color w:val="808080" w:themeColor="background1" w:themeShade="80"/>
        <w:sz w:val="16"/>
      </w:rPr>
      <w:t xml:space="preserve"> </w:t>
    </w:r>
    <w:hyperlink r:id="rId1" w:history="1">
      <w:r w:rsidRPr="00EF0800">
        <w:rPr>
          <w:rStyle w:val="Hyperlink"/>
        </w:rPr>
        <w:t>http://www.rmit.edu.au/policies</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31B" w:rsidRPr="00FF72C0" w:rsidRDefault="00122CF4" w:rsidP="00AC731B">
    <w:pPr>
      <w:pBdr>
        <w:top w:val="single" w:sz="4" w:space="1" w:color="7F7F7F" w:themeColor="text1" w:themeTint="80"/>
      </w:pBdr>
      <w:tabs>
        <w:tab w:val="right" w:pos="9356"/>
      </w:tabs>
      <w:spacing w:after="0"/>
      <w:rPr>
        <w:color w:val="808080" w:themeColor="background1" w:themeShade="80"/>
        <w:sz w:val="16"/>
      </w:rPr>
    </w:pPr>
    <w:r>
      <w:rPr>
        <w:color w:val="808080" w:themeColor="background1" w:themeShade="80"/>
        <w:sz w:val="16"/>
      </w:rPr>
      <w:t xml:space="preserve">Admission </w:t>
    </w:r>
    <w:r w:rsidR="00FD676D">
      <w:rPr>
        <w:color w:val="808080" w:themeColor="background1" w:themeShade="80"/>
        <w:sz w:val="16"/>
      </w:rPr>
      <w:t>and Credit Policy Schedules 1-</w:t>
    </w:r>
    <w:r>
      <w:rPr>
        <w:color w:val="808080" w:themeColor="background1" w:themeShade="80"/>
        <w:sz w:val="16"/>
      </w:rPr>
      <w:t>7</w:t>
    </w:r>
    <w:r w:rsidR="00516FD7">
      <w:rPr>
        <w:color w:val="808080" w:themeColor="background1" w:themeShade="80"/>
        <w:sz w:val="16"/>
      </w:rPr>
      <w:t xml:space="preserve"> </w:t>
    </w:r>
    <w:r w:rsidR="00F81788">
      <w:rPr>
        <w:color w:val="808080" w:themeColor="background1" w:themeShade="80"/>
        <w:sz w:val="16"/>
      </w:rPr>
      <w:t>v1.</w:t>
    </w:r>
    <w:r w:rsidR="002579F1">
      <w:rPr>
        <w:color w:val="808080" w:themeColor="background1" w:themeShade="80"/>
        <w:sz w:val="16"/>
      </w:rPr>
      <w:t>4</w:t>
    </w:r>
  </w:p>
  <w:p w:rsidR="00AC731B" w:rsidRPr="00FF72C0" w:rsidRDefault="00A3251D" w:rsidP="00A3251D">
    <w:pPr>
      <w:pBdr>
        <w:top w:val="single" w:sz="4" w:space="1" w:color="7F7F7F" w:themeColor="text1" w:themeTint="80"/>
      </w:pBdr>
      <w:tabs>
        <w:tab w:val="right" w:pos="14849"/>
      </w:tabs>
      <w:spacing w:after="0"/>
      <w:jc w:val="right"/>
      <w:rPr>
        <w:color w:val="808080" w:themeColor="background1" w:themeShade="80"/>
        <w:sz w:val="16"/>
      </w:rPr>
    </w:pPr>
    <w:r>
      <w:rPr>
        <w:color w:val="808080" w:themeColor="background1" w:themeShade="80"/>
        <w:sz w:val="16"/>
      </w:rPr>
      <w:t>Effective date</w:t>
    </w:r>
    <w:r w:rsidR="00AC731B">
      <w:rPr>
        <w:color w:val="808080" w:themeColor="background1" w:themeShade="80"/>
        <w:sz w:val="16"/>
      </w:rPr>
      <w:t xml:space="preserve">: </w:t>
    </w:r>
    <w:r w:rsidR="002579F1">
      <w:rPr>
        <w:color w:val="808080" w:themeColor="background1" w:themeShade="80"/>
        <w:sz w:val="16"/>
      </w:rPr>
      <w:t>19 February 2020</w:t>
    </w:r>
    <w:r w:rsidR="00AC731B">
      <w:rPr>
        <w:color w:val="808080" w:themeColor="background1" w:themeShade="80"/>
        <w:sz w:val="16"/>
      </w:rPr>
      <w:tab/>
    </w:r>
    <w:r>
      <w:rPr>
        <w:color w:val="808080" w:themeColor="background1" w:themeShade="80"/>
        <w:sz w:val="16"/>
      </w:rPr>
      <w:t xml:space="preserve">Review date: </w:t>
    </w:r>
    <w:r w:rsidR="00784A1F">
      <w:rPr>
        <w:color w:val="808080" w:themeColor="background1" w:themeShade="80"/>
        <w:sz w:val="16"/>
      </w:rPr>
      <w:t>5 September 2019</w:t>
    </w:r>
  </w:p>
  <w:p w:rsidR="00AC731B" w:rsidRPr="00FF72C0" w:rsidRDefault="00AC731B" w:rsidP="00AC731B">
    <w:pPr>
      <w:pBdr>
        <w:top w:val="single" w:sz="4" w:space="1" w:color="7F7F7F" w:themeColor="text1" w:themeTint="80"/>
      </w:pBdr>
      <w:tabs>
        <w:tab w:val="right" w:pos="9356"/>
      </w:tabs>
      <w:spacing w:after="0"/>
      <w:jc w:val="right"/>
      <w:rPr>
        <w:color w:val="808080" w:themeColor="background1" w:themeShade="80"/>
        <w:sz w:val="16"/>
      </w:rPr>
    </w:pPr>
    <w:r w:rsidRPr="00FF72C0">
      <w:rPr>
        <w:color w:val="808080" w:themeColor="background1" w:themeShade="80"/>
        <w:sz w:val="16"/>
        <w:szCs w:val="13"/>
      </w:rPr>
      <w:t xml:space="preserve">Page </w:t>
    </w:r>
    <w:r w:rsidRPr="00FF72C0">
      <w:rPr>
        <w:b/>
        <w:color w:val="808080" w:themeColor="background1" w:themeShade="80"/>
        <w:sz w:val="16"/>
        <w:szCs w:val="13"/>
      </w:rPr>
      <w:fldChar w:fldCharType="begin"/>
    </w:r>
    <w:r w:rsidRPr="00FF72C0">
      <w:rPr>
        <w:b/>
        <w:color w:val="808080" w:themeColor="background1" w:themeShade="80"/>
        <w:sz w:val="16"/>
        <w:szCs w:val="13"/>
      </w:rPr>
      <w:instrText xml:space="preserve"> PAGE </w:instrText>
    </w:r>
    <w:r w:rsidRPr="00FF72C0">
      <w:rPr>
        <w:b/>
        <w:color w:val="808080" w:themeColor="background1" w:themeShade="80"/>
        <w:sz w:val="16"/>
        <w:szCs w:val="13"/>
      </w:rPr>
      <w:fldChar w:fldCharType="separate"/>
    </w:r>
    <w:r w:rsidR="006F3FA3">
      <w:rPr>
        <w:b/>
        <w:noProof/>
        <w:color w:val="808080" w:themeColor="background1" w:themeShade="80"/>
        <w:sz w:val="16"/>
        <w:szCs w:val="13"/>
      </w:rPr>
      <w:t>1</w:t>
    </w:r>
    <w:r w:rsidRPr="00FF72C0">
      <w:rPr>
        <w:b/>
        <w:color w:val="808080" w:themeColor="background1" w:themeShade="80"/>
        <w:sz w:val="16"/>
        <w:szCs w:val="13"/>
      </w:rPr>
      <w:fldChar w:fldCharType="end"/>
    </w:r>
    <w:r w:rsidRPr="00FF72C0">
      <w:rPr>
        <w:color w:val="808080" w:themeColor="background1" w:themeShade="80"/>
        <w:sz w:val="16"/>
        <w:szCs w:val="13"/>
      </w:rPr>
      <w:t xml:space="preserve"> of </w:t>
    </w:r>
    <w:r w:rsidRPr="00FF72C0">
      <w:rPr>
        <w:b/>
        <w:color w:val="808080" w:themeColor="background1" w:themeShade="80"/>
        <w:sz w:val="16"/>
        <w:szCs w:val="13"/>
      </w:rPr>
      <w:fldChar w:fldCharType="begin"/>
    </w:r>
    <w:r w:rsidRPr="00FF72C0">
      <w:rPr>
        <w:b/>
        <w:color w:val="808080" w:themeColor="background1" w:themeShade="80"/>
        <w:sz w:val="16"/>
        <w:szCs w:val="13"/>
      </w:rPr>
      <w:instrText xml:space="preserve"> NUMPAGES  </w:instrText>
    </w:r>
    <w:r w:rsidRPr="00FF72C0">
      <w:rPr>
        <w:b/>
        <w:color w:val="808080" w:themeColor="background1" w:themeShade="80"/>
        <w:sz w:val="16"/>
        <w:szCs w:val="13"/>
      </w:rPr>
      <w:fldChar w:fldCharType="separate"/>
    </w:r>
    <w:r w:rsidR="006F3FA3">
      <w:rPr>
        <w:b/>
        <w:noProof/>
        <w:color w:val="808080" w:themeColor="background1" w:themeShade="80"/>
        <w:sz w:val="16"/>
        <w:szCs w:val="13"/>
      </w:rPr>
      <w:t>2</w:t>
    </w:r>
    <w:r w:rsidRPr="00FF72C0">
      <w:rPr>
        <w:b/>
        <w:color w:val="808080" w:themeColor="background1" w:themeShade="80"/>
        <w:sz w:val="16"/>
        <w:szCs w:val="13"/>
      </w:rPr>
      <w:fldChar w:fldCharType="end"/>
    </w:r>
  </w:p>
  <w:p w:rsidR="00B16858" w:rsidRPr="00EF0800" w:rsidRDefault="00AC731B" w:rsidP="00EF0800">
    <w:pPr>
      <w:pBdr>
        <w:top w:val="single" w:sz="4" w:space="1" w:color="7F7F7F" w:themeColor="text1" w:themeTint="80"/>
      </w:pBdr>
      <w:tabs>
        <w:tab w:val="right" w:pos="9356"/>
      </w:tabs>
      <w:spacing w:after="0"/>
      <w:jc w:val="center"/>
      <w:rPr>
        <w:color w:val="808080" w:themeColor="background1" w:themeShade="80"/>
        <w:sz w:val="16"/>
      </w:rPr>
    </w:pPr>
    <w:r w:rsidRPr="00FF72C0">
      <w:rPr>
        <w:color w:val="808080" w:themeColor="background1" w:themeShade="80"/>
        <w:sz w:val="16"/>
      </w:rPr>
      <w:t xml:space="preserve">For the </w:t>
    </w:r>
    <w:r w:rsidRPr="00FF72C0">
      <w:rPr>
        <w:b/>
        <w:color w:val="808080" w:themeColor="background1" w:themeShade="80"/>
        <w:sz w:val="16"/>
      </w:rPr>
      <w:t>latest</w:t>
    </w:r>
    <w:r w:rsidRPr="00FF72C0">
      <w:rPr>
        <w:color w:val="808080" w:themeColor="background1" w:themeShade="80"/>
        <w:sz w:val="16"/>
      </w:rPr>
      <w:t xml:space="preserve"> version of this document please go to </w:t>
    </w:r>
    <w:hyperlink r:id="rId1" w:history="1">
      <w:r w:rsidRPr="00B16858">
        <w:rPr>
          <w:rStyle w:val="Hyperlink"/>
        </w:rPr>
        <w:t>http://www.rmit.edu.au/policies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546" w:rsidRDefault="009A5546">
      <w:r>
        <w:separator/>
      </w:r>
    </w:p>
    <w:p w:rsidR="009A5546" w:rsidRDefault="009A5546"/>
  </w:footnote>
  <w:footnote w:type="continuationSeparator" w:id="0">
    <w:p w:rsidR="009A5546" w:rsidRDefault="009A5546">
      <w:r>
        <w:continuationSeparator/>
      </w:r>
    </w:p>
    <w:p w:rsidR="009A5546" w:rsidRDefault="009A5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6FD" w:rsidRDefault="00335AC8">
    <w:r>
      <w:rPr>
        <w:noProof/>
      </w:rPr>
      <mc:AlternateContent>
        <mc:Choice Requires="wps">
          <w:drawing>
            <wp:anchor distT="0" distB="0" distL="114300" distR="114300" simplePos="0" relativeHeight="251657728" behindDoc="1" locked="0" layoutInCell="0" allowOverlap="1" wp14:anchorId="74704563" wp14:editId="4486B32C">
              <wp:simplePos x="0" y="0"/>
              <wp:positionH relativeFrom="margin">
                <wp:align>center</wp:align>
              </wp:positionH>
              <wp:positionV relativeFrom="margin">
                <wp:align>center</wp:align>
              </wp:positionV>
              <wp:extent cx="7773670" cy="597535"/>
              <wp:effectExtent l="0" t="2486025" r="0" b="254571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73670" cy="597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35AC8" w:rsidRDefault="00335AC8" w:rsidP="00335AC8">
                          <w:pPr>
                            <w:pStyle w:val="NormalWeb"/>
                            <w:spacing w:before="0" w:beforeAutospacing="0" w:after="0" w:afterAutospacing="0"/>
                            <w:jc w:val="center"/>
                          </w:pPr>
                          <w:r>
                            <w:rPr>
                              <w:rFonts w:ascii="Arial" w:hAnsi="Arial" w:cs="Arial"/>
                              <w:color w:val="BFBFBF" w:themeColor="background1" w:themeShade="BF"/>
                              <w:sz w:val="2"/>
                              <w:szCs w:val="2"/>
                              <w14:textFill>
                                <w14:solidFill>
                                  <w14:schemeClr w14:val="bg1">
                                    <w14:alpha w14:val="50000"/>
                                    <w14:lumMod w14:val="75000"/>
                                  </w14:schemeClr>
                                </w14:solidFill>
                              </w14:textFill>
                            </w:rPr>
                            <w:t>FINAL DRAFT FOR APPROVAL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704563" id="_x0000_t202" coordsize="21600,21600" o:spt="202" path="m,l,21600r21600,l21600,xe">
              <v:stroke joinstyle="miter"/>
              <v:path gradientshapeok="t" o:connecttype="rect"/>
            </v:shapetype>
            <v:shape id="WordArt 5" o:spid="_x0000_s1026" type="#_x0000_t202" style="position:absolute;margin-left:0;margin-top:0;width:612.1pt;height:47.0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" o:allowincell="f" filled="f" stroked="f">
              <v:stroke joinstyle="round"/>
              <o:lock v:ext="edit" shapetype="t"/>
              <v:textbox style="mso-fit-shape-to-text:t">
                <w:txbxContent>
                  <w:p w:rsidR="00335AC8" w:rsidRDefault="00335AC8" w:rsidP="00335AC8">
                    <w:pPr>
                      <w:pStyle w:val="NormalWeb"/>
                      <w:spacing w:before="0" w:beforeAutospacing="0" w:after="0" w:afterAutospacing="0"/>
                      <w:jc w:val="center"/>
                    </w:pPr>
                    <w:r>
                      <w:rPr>
                        <w:rFonts w:ascii="Arial" w:hAnsi="Arial" w:cs="Arial"/>
                        <w:color w:val="BFBFBF" w:themeColor="background1" w:themeShade="BF"/>
                        <w:sz w:val="2"/>
                        <w:szCs w:val="2"/>
                        <w14:textFill>
                          <w14:solidFill>
                            <w14:schemeClr w14:val="bg1">
                              <w14:alpha w14:val="50000"/>
                              <w14:lumMod w14:val="75000"/>
                            </w14:schemeClr>
                          </w14:solidFill>
                        </w14:textFill>
                      </w:rPr>
                      <w:t>FINAL DRAFT FOR APPROVAL</w:t>
                    </w:r>
                  </w:p>
                </w:txbxContent>
              </v:textbox>
              <w10:wrap anchorx="margin" anchory="margin"/>
            </v:shape>
          </w:pict>
        </mc:Fallback>
      </mc:AlternateContent>
    </w:r>
    <w:r>
      <w:rPr>
        <w:noProof/>
      </w:rPr>
      <mc:AlternateContent>
        <mc:Choice Requires="wps">
          <w:drawing>
            <wp:anchor distT="0" distB="0" distL="114300" distR="114300" simplePos="0" relativeHeight="251655680" behindDoc="1" locked="0" layoutInCell="0" allowOverlap="1" wp14:anchorId="1222DA35" wp14:editId="3833120C">
              <wp:simplePos x="0" y="0"/>
              <wp:positionH relativeFrom="margin">
                <wp:align>center</wp:align>
              </wp:positionH>
              <wp:positionV relativeFrom="margin">
                <wp:align>center</wp:align>
              </wp:positionV>
              <wp:extent cx="7773670" cy="597535"/>
              <wp:effectExtent l="0" t="2486025" r="0" b="254571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73670" cy="597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35AC8" w:rsidRDefault="00335AC8" w:rsidP="00335AC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FINAL DRAFT FOR APPROVAL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22DA35" id="WordArt 2" o:spid="_x0000_s1027" type="#_x0000_t202" style="position:absolute;margin-left:0;margin-top:0;width:612.1pt;height:47.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" o:allowincell="f" filled="f" stroked="f">
              <v:stroke joinstyle="round"/>
              <o:lock v:ext="edit" shapetype="t"/>
              <v:textbox style="mso-fit-shape-to-text:t">
                <w:txbxContent>
                  <w:p w:rsidR="00335AC8" w:rsidRDefault="00335AC8" w:rsidP="00335AC8">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FINAL DRAFT FOR APPROVAL</w:t>
                    </w:r>
                  </w:p>
                </w:txbxContent>
              </v:textbox>
              <w10:wrap anchorx="margin" anchory="margin"/>
            </v:shape>
          </w:pict>
        </mc:Fallback>
      </mc:AlternateContent>
    </w:r>
  </w:p>
  <w:p w:rsidR="00632B64" w:rsidRDefault="00632B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B64" w:rsidRDefault="00594393" w:rsidP="009B3FD4">
    <w:pPr>
      <w:jc w:val="right"/>
    </w:pPr>
    <w:r>
      <w:rPr>
        <w:noProof/>
      </w:rPr>
      <w:drawing>
        <wp:inline distT="0" distB="0" distL="0" distR="0" wp14:anchorId="7CA0AB79" wp14:editId="5343FB3B">
          <wp:extent cx="1479600" cy="6624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MIT logo.png"/>
                  <pic:cNvPicPr/>
                </pic:nvPicPr>
                <pic:blipFill>
                  <a:blip r:embed="rId1">
                    <a:extLst>
                      <a:ext uri="{28A0092B-C50C-407E-A947-70E740481C1C}">
                        <a14:useLocalDpi xmlns:a14="http://schemas.microsoft.com/office/drawing/2010/main" val="0"/>
                      </a:ext>
                    </a:extLst>
                  </a:blip>
                  <a:stretch>
                    <a:fillRect/>
                  </a:stretch>
                </pic:blipFill>
                <pic:spPr>
                  <a:xfrm>
                    <a:off x="0" y="0"/>
                    <a:ext cx="1479600" cy="66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C5CE188"/>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05C68C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B12470"/>
    <w:multiLevelType w:val="hybridMultilevel"/>
    <w:tmpl w:val="16AAD4C0"/>
    <w:lvl w:ilvl="0" w:tplc="854C4262">
      <w:start w:val="1"/>
      <w:numFmt w:val="bullet"/>
      <w:lvlText w:val=""/>
      <w:lvlJc w:val="left"/>
      <w:pPr>
        <w:ind w:left="720" w:firstLine="131"/>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321259"/>
    <w:multiLevelType w:val="multilevel"/>
    <w:tmpl w:val="4264626A"/>
    <w:lvl w:ilvl="0">
      <w:start w:val="1"/>
      <w:numFmt w:val="bullet"/>
      <w:lvlText w:val="▪"/>
      <w:lvlJc w:val="left"/>
      <w:pPr>
        <w:ind w:left="1913" w:hanging="360"/>
      </w:pPr>
      <w:rPr>
        <w:rFonts w:ascii="Noto Sans Symbols" w:eastAsia="Noto Sans Symbols" w:hAnsi="Noto Sans Symbols" w:cs="Noto Sans Symbols"/>
        <w:color w:val="FF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696770"/>
    <w:multiLevelType w:val="hybridMultilevel"/>
    <w:tmpl w:val="17987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63221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E12DE"/>
    <w:multiLevelType w:val="multilevel"/>
    <w:tmpl w:val="D4100188"/>
    <w:lvl w:ilvl="0">
      <w:start w:val="1"/>
      <w:numFmt w:val="decimal"/>
      <w:lvlText w:val="%1."/>
      <w:lvlJc w:val="left"/>
      <w:pPr>
        <w:tabs>
          <w:tab w:val="num" w:pos="851"/>
        </w:tabs>
        <w:ind w:left="851" w:hanging="851"/>
      </w:pPr>
      <w:rPr>
        <w:rFonts w:ascii="Arial" w:hAnsi="Arial" w:hint="default"/>
        <w:b w:val="0"/>
        <w:i w:val="0"/>
        <w:sz w:val="22"/>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upperRoman"/>
      <w:lvlText w:val="(%6)"/>
      <w:lvlJc w:val="left"/>
      <w:pPr>
        <w:tabs>
          <w:tab w:val="num" w:pos="4253"/>
        </w:tabs>
        <w:ind w:left="4253" w:hanging="851"/>
      </w:pPr>
      <w:rPr>
        <w:rFonts w:ascii="Arial" w:hAnsi="Arial" w:hint="default"/>
        <w:b w:val="0"/>
        <w:i w:val="0"/>
        <w:sz w:val="22"/>
        <w:szCs w:val="22"/>
      </w:rPr>
    </w:lvl>
    <w:lvl w:ilvl="6">
      <w:start w:val="1"/>
      <w:numFmt w:val="none"/>
      <w:lvlText w:val=""/>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17AE2A1E"/>
    <w:multiLevelType w:val="multilevel"/>
    <w:tmpl w:val="0C09001F"/>
    <w:name w:val="Policy"/>
    <w:lvl w:ilvl="0">
      <w:start w:val="1"/>
      <w:numFmt w:val="decimal"/>
      <w:lvlText w:val="%1."/>
      <w:lvlJc w:val="left"/>
      <w:pPr>
        <w:ind w:left="360" w:hanging="360"/>
      </w:pPr>
      <w:rPr>
        <w:rFonts w:hint="default"/>
        <w:color w:val="auto"/>
        <w:sz w:val="32"/>
        <w:szCs w:val="32"/>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57A65"/>
    <w:multiLevelType w:val="hybridMultilevel"/>
    <w:tmpl w:val="C0B0D1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9948BC"/>
    <w:multiLevelType w:val="hybridMultilevel"/>
    <w:tmpl w:val="0A268D02"/>
    <w:lvl w:ilvl="0" w:tplc="14101BF8">
      <w:start w:val="1"/>
      <w:numFmt w:val="bullet"/>
      <w:pStyle w:val="Policybullet"/>
      <w:lvlText w:val=""/>
      <w:lvlJc w:val="left"/>
      <w:pPr>
        <w:ind w:left="85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7D40AA"/>
    <w:multiLevelType w:val="multilevel"/>
    <w:tmpl w:val="0C09001F"/>
    <w:name w:val="Policy"/>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74B7A"/>
    <w:multiLevelType w:val="singleLevel"/>
    <w:tmpl w:val="C19E640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8BF6FEE"/>
    <w:multiLevelType w:val="hybridMultilevel"/>
    <w:tmpl w:val="D0D29608"/>
    <w:lvl w:ilvl="0" w:tplc="054CAB60">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3" w15:restartNumberingAfterBreak="0">
    <w:nsid w:val="663B3871"/>
    <w:multiLevelType w:val="multilevel"/>
    <w:tmpl w:val="2D068838"/>
    <w:lvl w:ilvl="0">
      <w:start w:val="1"/>
      <w:numFmt w:val="bullet"/>
      <w:lvlText w:val=""/>
      <w:lvlJc w:val="left"/>
      <w:pPr>
        <w:ind w:left="1040" w:hanging="360"/>
      </w:pPr>
      <w:rPr>
        <w:rFonts w:ascii="Symbol" w:hAnsi="Symbol" w:hint="default"/>
      </w:rPr>
    </w:lvl>
    <w:lvl w:ilvl="1">
      <w:start w:val="1"/>
      <w:numFmt w:val="decimal"/>
      <w:lvlText w:val="%1.%2"/>
      <w:lvlJc w:val="left"/>
      <w:pPr>
        <w:ind w:left="1400" w:hanging="720"/>
      </w:pPr>
      <w:rPr>
        <w:rFonts w:hint="default"/>
      </w:rPr>
    </w:lvl>
    <w:lvl w:ilvl="2">
      <w:start w:val="1"/>
      <w:numFmt w:val="lowerLetter"/>
      <w:lvlText w:val="%3)"/>
      <w:lvlJc w:val="left"/>
      <w:pPr>
        <w:ind w:left="2120" w:hanging="720"/>
      </w:pPr>
      <w:rPr>
        <w:rFonts w:hint="default"/>
        <w:color w:val="auto"/>
      </w:rPr>
    </w:lvl>
    <w:lvl w:ilvl="3">
      <w:start w:val="1"/>
      <w:numFmt w:val="bullet"/>
      <w:lvlText w:val=""/>
      <w:lvlJc w:val="left"/>
      <w:pPr>
        <w:ind w:left="2480" w:hanging="432"/>
      </w:pPr>
      <w:rPr>
        <w:rFonts w:ascii="Symbol" w:hAnsi="Symbol" w:hint="default"/>
        <w:color w:val="auto"/>
      </w:rPr>
    </w:lvl>
    <w:lvl w:ilvl="4">
      <w:start w:val="1"/>
      <w:numFmt w:val="bullet"/>
      <w:lvlText w:val=""/>
      <w:lvlJc w:val="left"/>
      <w:pPr>
        <w:ind w:left="2984" w:hanging="504"/>
      </w:pPr>
      <w:rPr>
        <w:rFonts w:ascii="Symbol" w:hAnsi="Symbol" w:hint="default"/>
        <w:color w:val="auto"/>
      </w:rPr>
    </w:lvl>
    <w:lvl w:ilvl="5">
      <w:start w:val="1"/>
      <w:numFmt w:val="bullet"/>
      <w:lvlText w:val=""/>
      <w:lvlJc w:val="left"/>
      <w:pPr>
        <w:ind w:left="2984" w:hanging="360"/>
      </w:pPr>
      <w:rPr>
        <w:rFonts w:ascii="Symbol" w:hAnsi="Symbol" w:hint="default"/>
        <w:color w:val="auto"/>
      </w:rPr>
    </w:lvl>
    <w:lvl w:ilvl="6">
      <w:start w:val="1"/>
      <w:numFmt w:val="bullet"/>
      <w:lvlText w:val=""/>
      <w:lvlJc w:val="left"/>
      <w:pPr>
        <w:ind w:left="3200" w:hanging="360"/>
      </w:pPr>
      <w:rPr>
        <w:rFonts w:ascii="Symbol" w:hAnsi="Symbol" w:hint="default"/>
        <w:color w:val="auto"/>
      </w:rPr>
    </w:lvl>
    <w:lvl w:ilvl="7">
      <w:start w:val="1"/>
      <w:numFmt w:val="bullet"/>
      <w:lvlText w:val=""/>
      <w:lvlJc w:val="left"/>
      <w:pPr>
        <w:ind w:left="3560" w:hanging="360"/>
      </w:pPr>
      <w:rPr>
        <w:rFonts w:ascii="Symbol" w:hAnsi="Symbol" w:hint="default"/>
        <w:color w:val="auto"/>
      </w:rPr>
    </w:lvl>
    <w:lvl w:ilvl="8">
      <w:start w:val="1"/>
      <w:numFmt w:val="bullet"/>
      <w:lvlText w:val=""/>
      <w:lvlJc w:val="left"/>
      <w:pPr>
        <w:ind w:left="3920" w:hanging="360"/>
      </w:pPr>
      <w:rPr>
        <w:rFonts w:ascii="Symbol" w:hAnsi="Symbol" w:hint="default"/>
        <w:color w:val="auto"/>
      </w:rPr>
    </w:lvl>
  </w:abstractNum>
  <w:abstractNum w:abstractNumId="14" w15:restartNumberingAfterBreak="0">
    <w:nsid w:val="67811E89"/>
    <w:multiLevelType w:val="multilevel"/>
    <w:tmpl w:val="03425A2A"/>
    <w:lvl w:ilvl="0">
      <w:start w:val="1"/>
      <w:numFmt w:val="decimal"/>
      <w:lvlText w:val="%1."/>
      <w:lvlJc w:val="left"/>
      <w:pPr>
        <w:tabs>
          <w:tab w:val="num" w:pos="1531"/>
        </w:tabs>
        <w:ind w:left="1531" w:hanging="851"/>
      </w:pPr>
      <w:rPr>
        <w:rFonts w:hint="default"/>
      </w:rPr>
    </w:lvl>
    <w:lvl w:ilvl="1">
      <w:start w:val="1"/>
      <w:numFmt w:val="decimal"/>
      <w:lvlText w:val="%1.%2"/>
      <w:lvlJc w:val="left"/>
      <w:pPr>
        <w:tabs>
          <w:tab w:val="num" w:pos="1531"/>
        </w:tabs>
        <w:ind w:left="1531" w:hanging="851"/>
      </w:pPr>
      <w:rPr>
        <w:rFonts w:hint="default"/>
      </w:rPr>
    </w:lvl>
    <w:lvl w:ilvl="2">
      <w:start w:val="1"/>
      <w:numFmt w:val="lowerLetter"/>
      <w:lvlText w:val="(%3)"/>
      <w:lvlJc w:val="left"/>
      <w:pPr>
        <w:tabs>
          <w:tab w:val="num" w:pos="2381"/>
        </w:tabs>
        <w:ind w:left="2381" w:hanging="850"/>
      </w:pPr>
      <w:rPr>
        <w:rFonts w:hint="default"/>
      </w:rPr>
    </w:lvl>
    <w:lvl w:ilvl="3">
      <w:start w:val="1"/>
      <w:numFmt w:val="lowerRoman"/>
      <w:lvlText w:val="(%4)"/>
      <w:lvlJc w:val="left"/>
      <w:pPr>
        <w:tabs>
          <w:tab w:val="num" w:pos="3232"/>
        </w:tabs>
        <w:ind w:left="3232" w:hanging="851"/>
      </w:pPr>
      <w:rPr>
        <w:rFonts w:hint="default"/>
      </w:rPr>
    </w:lvl>
    <w:lvl w:ilvl="4">
      <w:start w:val="1"/>
      <w:numFmt w:val="upperLetter"/>
      <w:lvlText w:val="(%5)"/>
      <w:lvlJc w:val="left"/>
      <w:pPr>
        <w:tabs>
          <w:tab w:val="num" w:pos="4082"/>
        </w:tabs>
        <w:ind w:left="4082" w:hanging="850"/>
      </w:pPr>
      <w:rPr>
        <w:rFonts w:hint="default"/>
      </w:rPr>
    </w:lvl>
    <w:lvl w:ilvl="5">
      <w:start w:val="1"/>
      <w:numFmt w:val="upperRoman"/>
      <w:lvlText w:val="(%6)"/>
      <w:lvlJc w:val="left"/>
      <w:pPr>
        <w:tabs>
          <w:tab w:val="num" w:pos="4933"/>
        </w:tabs>
        <w:ind w:left="4933" w:hanging="851"/>
      </w:pPr>
      <w:rPr>
        <w:rFonts w:hint="default"/>
      </w:rPr>
    </w:lvl>
    <w:lvl w:ilvl="6">
      <w:start w:val="1"/>
      <w:numFmt w:val="decimal"/>
      <w:lvlText w:val="%7)"/>
      <w:lvlJc w:val="left"/>
      <w:pPr>
        <w:tabs>
          <w:tab w:val="num" w:pos="5783"/>
        </w:tabs>
        <w:ind w:left="5783" w:hanging="850"/>
      </w:pPr>
      <w:rPr>
        <w:rFonts w:hint="default"/>
      </w:rPr>
    </w:lvl>
    <w:lvl w:ilvl="7">
      <w:start w:val="1"/>
      <w:numFmt w:val="none"/>
      <w:suff w:val="nothing"/>
      <w:lvlText w:val="%8"/>
      <w:lvlJc w:val="left"/>
      <w:pPr>
        <w:ind w:left="680" w:firstLine="0"/>
      </w:pPr>
      <w:rPr>
        <w:rFonts w:hint="default"/>
      </w:rPr>
    </w:lvl>
    <w:lvl w:ilvl="8">
      <w:start w:val="1"/>
      <w:numFmt w:val="none"/>
      <w:suff w:val="nothing"/>
      <w:lvlText w:val="%9"/>
      <w:lvlJc w:val="left"/>
      <w:pPr>
        <w:ind w:left="680" w:firstLine="0"/>
      </w:pPr>
      <w:rPr>
        <w:rFonts w:hint="default"/>
      </w:rPr>
    </w:lvl>
  </w:abstractNum>
  <w:abstractNum w:abstractNumId="15" w15:restartNumberingAfterBreak="0">
    <w:nsid w:val="692F010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9C60C3"/>
    <w:multiLevelType w:val="hybridMultilevel"/>
    <w:tmpl w:val="E59080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FB54F5A"/>
    <w:multiLevelType w:val="multilevel"/>
    <w:tmpl w:val="104A3D5C"/>
    <w:lvl w:ilvl="0">
      <w:start w:val="1"/>
      <w:numFmt w:val="lowerLetter"/>
      <w:lvlText w:val="%1)"/>
      <w:lvlJc w:val="left"/>
      <w:pPr>
        <w:ind w:left="864" w:hanging="360"/>
      </w:pPr>
      <w:rPr>
        <w:rFonts w:ascii="Arial" w:eastAsia="Times New Roman" w:hAnsi="Arial" w:cs="Times New Roman"/>
      </w:rPr>
    </w:lvl>
    <w:lvl w:ilvl="1">
      <w:start w:val="1"/>
      <w:numFmt w:val="decimal"/>
      <w:lvlText w:val="%1.%2"/>
      <w:lvlJc w:val="left"/>
      <w:pPr>
        <w:ind w:left="1224" w:hanging="720"/>
      </w:pPr>
      <w:rPr>
        <w:rFonts w:hint="default"/>
      </w:rPr>
    </w:lvl>
    <w:lvl w:ilvl="2">
      <w:start w:val="1"/>
      <w:numFmt w:val="lowerLetter"/>
      <w:lvlText w:val="%3)"/>
      <w:lvlJc w:val="left"/>
      <w:pPr>
        <w:ind w:left="1944" w:hanging="720"/>
      </w:pPr>
      <w:rPr>
        <w:rFonts w:hint="default"/>
        <w:color w:val="auto"/>
      </w:rPr>
    </w:lvl>
    <w:lvl w:ilvl="3">
      <w:start w:val="1"/>
      <w:numFmt w:val="bullet"/>
      <w:lvlText w:val=""/>
      <w:lvlJc w:val="left"/>
      <w:pPr>
        <w:ind w:left="2304" w:hanging="432"/>
      </w:pPr>
      <w:rPr>
        <w:rFonts w:ascii="Symbol" w:hAnsi="Symbol" w:hint="default"/>
        <w:color w:val="auto"/>
      </w:rPr>
    </w:lvl>
    <w:lvl w:ilvl="4">
      <w:start w:val="1"/>
      <w:numFmt w:val="bullet"/>
      <w:lvlText w:val=""/>
      <w:lvlJc w:val="left"/>
      <w:pPr>
        <w:ind w:left="2808" w:hanging="504"/>
      </w:pPr>
      <w:rPr>
        <w:rFonts w:ascii="Symbol" w:hAnsi="Symbol" w:hint="default"/>
        <w:color w:val="auto"/>
      </w:rPr>
    </w:lvl>
    <w:lvl w:ilvl="5">
      <w:start w:val="1"/>
      <w:numFmt w:val="bullet"/>
      <w:lvlText w:val=""/>
      <w:lvlJc w:val="left"/>
      <w:pPr>
        <w:ind w:left="2808" w:hanging="360"/>
      </w:pPr>
      <w:rPr>
        <w:rFonts w:ascii="Symbol" w:hAnsi="Symbol" w:hint="default"/>
        <w:color w:val="auto"/>
      </w:rPr>
    </w:lvl>
    <w:lvl w:ilvl="6">
      <w:start w:val="1"/>
      <w:numFmt w:val="bullet"/>
      <w:lvlText w:val=""/>
      <w:lvlJc w:val="left"/>
      <w:pPr>
        <w:ind w:left="3024" w:hanging="360"/>
      </w:pPr>
      <w:rPr>
        <w:rFonts w:ascii="Symbol" w:hAnsi="Symbol" w:hint="default"/>
        <w:color w:val="auto"/>
      </w:rPr>
    </w:lvl>
    <w:lvl w:ilvl="7">
      <w:start w:val="1"/>
      <w:numFmt w:val="bullet"/>
      <w:lvlText w:val=""/>
      <w:lvlJc w:val="left"/>
      <w:pPr>
        <w:ind w:left="3384" w:hanging="360"/>
      </w:pPr>
      <w:rPr>
        <w:rFonts w:ascii="Symbol" w:hAnsi="Symbol" w:hint="default"/>
        <w:color w:val="auto"/>
      </w:rPr>
    </w:lvl>
    <w:lvl w:ilvl="8">
      <w:start w:val="1"/>
      <w:numFmt w:val="bullet"/>
      <w:lvlText w:val=""/>
      <w:lvlJc w:val="left"/>
      <w:pPr>
        <w:ind w:left="3744" w:hanging="360"/>
      </w:pPr>
      <w:rPr>
        <w:rFonts w:ascii="Symbol" w:hAnsi="Symbol" w:hint="default"/>
        <w:color w:val="auto"/>
      </w:rPr>
    </w:lvl>
  </w:abstractNum>
  <w:abstractNum w:abstractNumId="18" w15:restartNumberingAfterBreak="0">
    <w:nsid w:val="71656E9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F168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4"/>
  </w:num>
  <w:num w:numId="3">
    <w:abstractNumId w:val="6"/>
  </w:num>
  <w:num w:numId="4">
    <w:abstractNumId w:val="11"/>
  </w:num>
  <w:num w:numId="5">
    <w:abstractNumId w:val="2"/>
  </w:num>
  <w:num w:numId="6">
    <w:abstractNumId w:val="7"/>
  </w:num>
  <w:num w:numId="7">
    <w:abstractNumId w:val="17"/>
  </w:num>
  <w:num w:numId="8">
    <w:abstractNumId w:val="13"/>
  </w:num>
  <w:num w:numId="9">
    <w:abstractNumId w:val="12"/>
  </w:num>
  <w:num w:numId="10">
    <w:abstractNumId w:val="16"/>
  </w:num>
  <w:num w:numId="11">
    <w:abstractNumId w:val="8"/>
  </w:num>
  <w:num w:numId="12">
    <w:abstractNumId w:val="3"/>
  </w:num>
  <w:num w:numId="13">
    <w:abstractNumId w:val="9"/>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0"/>
  </w:num>
  <w:num w:numId="26">
    <w:abstractNumId w:val="18"/>
  </w:num>
  <w:num w:numId="27">
    <w:abstractNumId w:val="19"/>
  </w:num>
  <w:num w:numId="28">
    <w:abstractNumId w:val="5"/>
  </w:num>
  <w:num w:numId="29">
    <w:abstractNumId w:val="1"/>
  </w:num>
  <w:num w:numId="3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68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46"/>
    <w:rsid w:val="000010F1"/>
    <w:rsid w:val="00002D05"/>
    <w:rsid w:val="00003FB2"/>
    <w:rsid w:val="00013B6A"/>
    <w:rsid w:val="000148B8"/>
    <w:rsid w:val="000173A8"/>
    <w:rsid w:val="00020530"/>
    <w:rsid w:val="00022422"/>
    <w:rsid w:val="00027383"/>
    <w:rsid w:val="000304EA"/>
    <w:rsid w:val="000400CD"/>
    <w:rsid w:val="00045CA3"/>
    <w:rsid w:val="00046933"/>
    <w:rsid w:val="0004755A"/>
    <w:rsid w:val="0005107E"/>
    <w:rsid w:val="00052111"/>
    <w:rsid w:val="00052761"/>
    <w:rsid w:val="00061194"/>
    <w:rsid w:val="00063852"/>
    <w:rsid w:val="00063AB1"/>
    <w:rsid w:val="00064232"/>
    <w:rsid w:val="000648FE"/>
    <w:rsid w:val="00066C13"/>
    <w:rsid w:val="00067BF8"/>
    <w:rsid w:val="00072BAA"/>
    <w:rsid w:val="00074270"/>
    <w:rsid w:val="00075222"/>
    <w:rsid w:val="0008504B"/>
    <w:rsid w:val="00092864"/>
    <w:rsid w:val="00096DFF"/>
    <w:rsid w:val="00097A5B"/>
    <w:rsid w:val="000A122F"/>
    <w:rsid w:val="000A7764"/>
    <w:rsid w:val="000B23D4"/>
    <w:rsid w:val="000B5D52"/>
    <w:rsid w:val="000C57C4"/>
    <w:rsid w:val="000C7570"/>
    <w:rsid w:val="000D07C1"/>
    <w:rsid w:val="000D3281"/>
    <w:rsid w:val="000E39BD"/>
    <w:rsid w:val="000E4796"/>
    <w:rsid w:val="000E6602"/>
    <w:rsid w:val="000F1F74"/>
    <w:rsid w:val="00102775"/>
    <w:rsid w:val="0010286B"/>
    <w:rsid w:val="00103861"/>
    <w:rsid w:val="0010551B"/>
    <w:rsid w:val="00105C8D"/>
    <w:rsid w:val="001106D1"/>
    <w:rsid w:val="00111033"/>
    <w:rsid w:val="001119ED"/>
    <w:rsid w:val="00122CF4"/>
    <w:rsid w:val="00123F55"/>
    <w:rsid w:val="00131335"/>
    <w:rsid w:val="001400B9"/>
    <w:rsid w:val="001451CC"/>
    <w:rsid w:val="0015045B"/>
    <w:rsid w:val="0015093F"/>
    <w:rsid w:val="00150A79"/>
    <w:rsid w:val="00152D96"/>
    <w:rsid w:val="00154506"/>
    <w:rsid w:val="00161458"/>
    <w:rsid w:val="00165F02"/>
    <w:rsid w:val="00172AF9"/>
    <w:rsid w:val="00173BA8"/>
    <w:rsid w:val="00182592"/>
    <w:rsid w:val="00194BA8"/>
    <w:rsid w:val="001968B5"/>
    <w:rsid w:val="001A239E"/>
    <w:rsid w:val="001A47B8"/>
    <w:rsid w:val="001A7E6C"/>
    <w:rsid w:val="001B29A5"/>
    <w:rsid w:val="001B5ACB"/>
    <w:rsid w:val="001C1B6F"/>
    <w:rsid w:val="001C2E27"/>
    <w:rsid w:val="001D0F85"/>
    <w:rsid w:val="001D1ADB"/>
    <w:rsid w:val="001D1FB3"/>
    <w:rsid w:val="001D29E6"/>
    <w:rsid w:val="001D6A96"/>
    <w:rsid w:val="001D7CEB"/>
    <w:rsid w:val="001E7B37"/>
    <w:rsid w:val="001F02F3"/>
    <w:rsid w:val="001F1459"/>
    <w:rsid w:val="001F63BB"/>
    <w:rsid w:val="00200F6F"/>
    <w:rsid w:val="00204E7A"/>
    <w:rsid w:val="0022154D"/>
    <w:rsid w:val="00226AAC"/>
    <w:rsid w:val="00234D63"/>
    <w:rsid w:val="002375B2"/>
    <w:rsid w:val="002532C9"/>
    <w:rsid w:val="00253654"/>
    <w:rsid w:val="0025431C"/>
    <w:rsid w:val="00256718"/>
    <w:rsid w:val="002579F1"/>
    <w:rsid w:val="00257FAE"/>
    <w:rsid w:val="002705F9"/>
    <w:rsid w:val="00271483"/>
    <w:rsid w:val="00272729"/>
    <w:rsid w:val="00273BA5"/>
    <w:rsid w:val="002832ED"/>
    <w:rsid w:val="00292AB3"/>
    <w:rsid w:val="002A2729"/>
    <w:rsid w:val="002A35FD"/>
    <w:rsid w:val="002A7838"/>
    <w:rsid w:val="002B2783"/>
    <w:rsid w:val="002B2886"/>
    <w:rsid w:val="002B6810"/>
    <w:rsid w:val="002C0A5C"/>
    <w:rsid w:val="002C14E5"/>
    <w:rsid w:val="002C6624"/>
    <w:rsid w:val="002C76F9"/>
    <w:rsid w:val="002D1032"/>
    <w:rsid w:val="002D5654"/>
    <w:rsid w:val="002D5D5F"/>
    <w:rsid w:val="002D7AAE"/>
    <w:rsid w:val="002F1353"/>
    <w:rsid w:val="002F3F8E"/>
    <w:rsid w:val="002F67FE"/>
    <w:rsid w:val="002F6F7B"/>
    <w:rsid w:val="003031EE"/>
    <w:rsid w:val="003032D8"/>
    <w:rsid w:val="003077DD"/>
    <w:rsid w:val="00316C43"/>
    <w:rsid w:val="003212F2"/>
    <w:rsid w:val="00324611"/>
    <w:rsid w:val="0033168E"/>
    <w:rsid w:val="0033254C"/>
    <w:rsid w:val="00333BC4"/>
    <w:rsid w:val="00334A70"/>
    <w:rsid w:val="0033512F"/>
    <w:rsid w:val="00335AC8"/>
    <w:rsid w:val="00340362"/>
    <w:rsid w:val="00341721"/>
    <w:rsid w:val="00344837"/>
    <w:rsid w:val="00350C7D"/>
    <w:rsid w:val="00353A0C"/>
    <w:rsid w:val="00355513"/>
    <w:rsid w:val="00355539"/>
    <w:rsid w:val="00355E0F"/>
    <w:rsid w:val="003564FB"/>
    <w:rsid w:val="00365975"/>
    <w:rsid w:val="00370F14"/>
    <w:rsid w:val="00372101"/>
    <w:rsid w:val="0037210A"/>
    <w:rsid w:val="0038294B"/>
    <w:rsid w:val="00383B33"/>
    <w:rsid w:val="003843FF"/>
    <w:rsid w:val="003858E9"/>
    <w:rsid w:val="00386B99"/>
    <w:rsid w:val="00391049"/>
    <w:rsid w:val="00395403"/>
    <w:rsid w:val="003956D9"/>
    <w:rsid w:val="00396988"/>
    <w:rsid w:val="003A0CAB"/>
    <w:rsid w:val="003A3877"/>
    <w:rsid w:val="003B0B74"/>
    <w:rsid w:val="003B30C5"/>
    <w:rsid w:val="003B34C8"/>
    <w:rsid w:val="003B77DB"/>
    <w:rsid w:val="003C7E2B"/>
    <w:rsid w:val="003E6654"/>
    <w:rsid w:val="003E6706"/>
    <w:rsid w:val="003F0D23"/>
    <w:rsid w:val="00400242"/>
    <w:rsid w:val="004108E5"/>
    <w:rsid w:val="00410A9D"/>
    <w:rsid w:val="00411023"/>
    <w:rsid w:val="00412354"/>
    <w:rsid w:val="0041365C"/>
    <w:rsid w:val="00420DFC"/>
    <w:rsid w:val="004210D5"/>
    <w:rsid w:val="00423FB2"/>
    <w:rsid w:val="00433746"/>
    <w:rsid w:val="00437A53"/>
    <w:rsid w:val="00442164"/>
    <w:rsid w:val="00445B73"/>
    <w:rsid w:val="00447587"/>
    <w:rsid w:val="00451625"/>
    <w:rsid w:val="004549A6"/>
    <w:rsid w:val="004579D2"/>
    <w:rsid w:val="00461C3C"/>
    <w:rsid w:val="004647B6"/>
    <w:rsid w:val="00474284"/>
    <w:rsid w:val="0047744D"/>
    <w:rsid w:val="004875C6"/>
    <w:rsid w:val="00492285"/>
    <w:rsid w:val="004947BF"/>
    <w:rsid w:val="004A4177"/>
    <w:rsid w:val="004A7DA5"/>
    <w:rsid w:val="004B0D27"/>
    <w:rsid w:val="004B5DC6"/>
    <w:rsid w:val="004B7211"/>
    <w:rsid w:val="004C41BC"/>
    <w:rsid w:val="004C4740"/>
    <w:rsid w:val="004C6844"/>
    <w:rsid w:val="004D2829"/>
    <w:rsid w:val="004D7B4A"/>
    <w:rsid w:val="004E03EF"/>
    <w:rsid w:val="004E1C9D"/>
    <w:rsid w:val="004E307C"/>
    <w:rsid w:val="004E72FD"/>
    <w:rsid w:val="004F15AC"/>
    <w:rsid w:val="004F1E1E"/>
    <w:rsid w:val="004F55FB"/>
    <w:rsid w:val="004F633C"/>
    <w:rsid w:val="004F639B"/>
    <w:rsid w:val="004F63FC"/>
    <w:rsid w:val="004F6451"/>
    <w:rsid w:val="00500AE5"/>
    <w:rsid w:val="00503A70"/>
    <w:rsid w:val="00503B61"/>
    <w:rsid w:val="00516FD7"/>
    <w:rsid w:val="00522FDB"/>
    <w:rsid w:val="005338EA"/>
    <w:rsid w:val="00533A69"/>
    <w:rsid w:val="0053651A"/>
    <w:rsid w:val="00545D1E"/>
    <w:rsid w:val="00545EAC"/>
    <w:rsid w:val="00550C02"/>
    <w:rsid w:val="00554A8F"/>
    <w:rsid w:val="00555CB2"/>
    <w:rsid w:val="00567832"/>
    <w:rsid w:val="005706D8"/>
    <w:rsid w:val="005721A5"/>
    <w:rsid w:val="00574AE8"/>
    <w:rsid w:val="00582A09"/>
    <w:rsid w:val="00582DB5"/>
    <w:rsid w:val="005874DA"/>
    <w:rsid w:val="00587682"/>
    <w:rsid w:val="00587842"/>
    <w:rsid w:val="00587DE3"/>
    <w:rsid w:val="00591825"/>
    <w:rsid w:val="0059210E"/>
    <w:rsid w:val="00593233"/>
    <w:rsid w:val="00594393"/>
    <w:rsid w:val="005974A0"/>
    <w:rsid w:val="005A17A5"/>
    <w:rsid w:val="005A235D"/>
    <w:rsid w:val="005A2ED3"/>
    <w:rsid w:val="005A4292"/>
    <w:rsid w:val="005B084E"/>
    <w:rsid w:val="005B0D38"/>
    <w:rsid w:val="005B4752"/>
    <w:rsid w:val="005B7208"/>
    <w:rsid w:val="005B7DC3"/>
    <w:rsid w:val="005C0C24"/>
    <w:rsid w:val="005C2FCE"/>
    <w:rsid w:val="005C48E1"/>
    <w:rsid w:val="005C6AD6"/>
    <w:rsid w:val="005C72D8"/>
    <w:rsid w:val="005E0278"/>
    <w:rsid w:val="005E7ED7"/>
    <w:rsid w:val="005F1C29"/>
    <w:rsid w:val="005F2590"/>
    <w:rsid w:val="005F3BE5"/>
    <w:rsid w:val="005F5109"/>
    <w:rsid w:val="005F6B0D"/>
    <w:rsid w:val="0060304B"/>
    <w:rsid w:val="00605455"/>
    <w:rsid w:val="00605497"/>
    <w:rsid w:val="00605CE9"/>
    <w:rsid w:val="00610C13"/>
    <w:rsid w:val="00610C6B"/>
    <w:rsid w:val="00617209"/>
    <w:rsid w:val="00620050"/>
    <w:rsid w:val="006237BA"/>
    <w:rsid w:val="00623D85"/>
    <w:rsid w:val="00631917"/>
    <w:rsid w:val="00632B64"/>
    <w:rsid w:val="00634C13"/>
    <w:rsid w:val="00636A15"/>
    <w:rsid w:val="0064117B"/>
    <w:rsid w:val="006420CF"/>
    <w:rsid w:val="00643FF9"/>
    <w:rsid w:val="00650816"/>
    <w:rsid w:val="00650D20"/>
    <w:rsid w:val="00652C32"/>
    <w:rsid w:val="00653A18"/>
    <w:rsid w:val="006540A2"/>
    <w:rsid w:val="00654CA8"/>
    <w:rsid w:val="00657CBA"/>
    <w:rsid w:val="00660BB2"/>
    <w:rsid w:val="00661578"/>
    <w:rsid w:val="00665102"/>
    <w:rsid w:val="006723A6"/>
    <w:rsid w:val="00673DED"/>
    <w:rsid w:val="00687F39"/>
    <w:rsid w:val="006937CD"/>
    <w:rsid w:val="0069511C"/>
    <w:rsid w:val="00696CE1"/>
    <w:rsid w:val="006A0B69"/>
    <w:rsid w:val="006A301B"/>
    <w:rsid w:val="006A32D0"/>
    <w:rsid w:val="006B1AAC"/>
    <w:rsid w:val="006B63C0"/>
    <w:rsid w:val="006C105B"/>
    <w:rsid w:val="006C2B1B"/>
    <w:rsid w:val="006D0194"/>
    <w:rsid w:val="006D31AB"/>
    <w:rsid w:val="006D51CA"/>
    <w:rsid w:val="006D7591"/>
    <w:rsid w:val="006D77E7"/>
    <w:rsid w:val="006E01F7"/>
    <w:rsid w:val="006F06D4"/>
    <w:rsid w:val="006F25AC"/>
    <w:rsid w:val="006F3FA3"/>
    <w:rsid w:val="006F5B25"/>
    <w:rsid w:val="0070134F"/>
    <w:rsid w:val="007041A3"/>
    <w:rsid w:val="00712CDC"/>
    <w:rsid w:val="00713F13"/>
    <w:rsid w:val="0071433B"/>
    <w:rsid w:val="00724AE3"/>
    <w:rsid w:val="0072506B"/>
    <w:rsid w:val="0072657C"/>
    <w:rsid w:val="00726890"/>
    <w:rsid w:val="007300FB"/>
    <w:rsid w:val="00733D3B"/>
    <w:rsid w:val="00733D83"/>
    <w:rsid w:val="007476FD"/>
    <w:rsid w:val="00754CC4"/>
    <w:rsid w:val="00756F64"/>
    <w:rsid w:val="00774098"/>
    <w:rsid w:val="007817A6"/>
    <w:rsid w:val="00783DED"/>
    <w:rsid w:val="00784A1F"/>
    <w:rsid w:val="007850DE"/>
    <w:rsid w:val="00786F2C"/>
    <w:rsid w:val="00790D5A"/>
    <w:rsid w:val="00790FCF"/>
    <w:rsid w:val="00792442"/>
    <w:rsid w:val="00792F2B"/>
    <w:rsid w:val="00794B21"/>
    <w:rsid w:val="00797732"/>
    <w:rsid w:val="007A262D"/>
    <w:rsid w:val="007A7FD8"/>
    <w:rsid w:val="007B3C8D"/>
    <w:rsid w:val="007B61BA"/>
    <w:rsid w:val="007D6449"/>
    <w:rsid w:val="007E5B58"/>
    <w:rsid w:val="007E614F"/>
    <w:rsid w:val="007E66F7"/>
    <w:rsid w:val="007E7494"/>
    <w:rsid w:val="007E7F08"/>
    <w:rsid w:val="007F477C"/>
    <w:rsid w:val="007F6CC7"/>
    <w:rsid w:val="00800731"/>
    <w:rsid w:val="00803208"/>
    <w:rsid w:val="0082118A"/>
    <w:rsid w:val="00852A01"/>
    <w:rsid w:val="0085584F"/>
    <w:rsid w:val="00862F5A"/>
    <w:rsid w:val="00864F1B"/>
    <w:rsid w:val="00865BA0"/>
    <w:rsid w:val="00870C64"/>
    <w:rsid w:val="008747F9"/>
    <w:rsid w:val="00874BAC"/>
    <w:rsid w:val="008762DA"/>
    <w:rsid w:val="008815B5"/>
    <w:rsid w:val="0088277A"/>
    <w:rsid w:val="00887C63"/>
    <w:rsid w:val="00887CE5"/>
    <w:rsid w:val="00890234"/>
    <w:rsid w:val="00890348"/>
    <w:rsid w:val="00896D48"/>
    <w:rsid w:val="00896E18"/>
    <w:rsid w:val="00897348"/>
    <w:rsid w:val="008A304A"/>
    <w:rsid w:val="008A4339"/>
    <w:rsid w:val="008B2553"/>
    <w:rsid w:val="008B420F"/>
    <w:rsid w:val="008B5078"/>
    <w:rsid w:val="008B5709"/>
    <w:rsid w:val="008B69ED"/>
    <w:rsid w:val="008B72E8"/>
    <w:rsid w:val="008C0F19"/>
    <w:rsid w:val="008C7B51"/>
    <w:rsid w:val="008D3A9A"/>
    <w:rsid w:val="008D7FF3"/>
    <w:rsid w:val="008E4CB4"/>
    <w:rsid w:val="008F3567"/>
    <w:rsid w:val="008F6F56"/>
    <w:rsid w:val="008F734A"/>
    <w:rsid w:val="00900BE5"/>
    <w:rsid w:val="00901C29"/>
    <w:rsid w:val="00903FE2"/>
    <w:rsid w:val="00906F9F"/>
    <w:rsid w:val="00911A2D"/>
    <w:rsid w:val="00913DF8"/>
    <w:rsid w:val="00916394"/>
    <w:rsid w:val="00920449"/>
    <w:rsid w:val="009230C7"/>
    <w:rsid w:val="00926206"/>
    <w:rsid w:val="00926241"/>
    <w:rsid w:val="00926E2E"/>
    <w:rsid w:val="00932598"/>
    <w:rsid w:val="0093412C"/>
    <w:rsid w:val="00940E91"/>
    <w:rsid w:val="009413FF"/>
    <w:rsid w:val="00941C96"/>
    <w:rsid w:val="00947131"/>
    <w:rsid w:val="00951C6B"/>
    <w:rsid w:val="00951FFB"/>
    <w:rsid w:val="00954B4E"/>
    <w:rsid w:val="00961427"/>
    <w:rsid w:val="0096667C"/>
    <w:rsid w:val="00967637"/>
    <w:rsid w:val="00971B55"/>
    <w:rsid w:val="009723CE"/>
    <w:rsid w:val="00972F70"/>
    <w:rsid w:val="009779DB"/>
    <w:rsid w:val="009873C9"/>
    <w:rsid w:val="0098779C"/>
    <w:rsid w:val="0099000B"/>
    <w:rsid w:val="009A5546"/>
    <w:rsid w:val="009A5CE1"/>
    <w:rsid w:val="009A633E"/>
    <w:rsid w:val="009A7CA1"/>
    <w:rsid w:val="009B0EAA"/>
    <w:rsid w:val="009B3FD4"/>
    <w:rsid w:val="009B5FF9"/>
    <w:rsid w:val="009C52F4"/>
    <w:rsid w:val="009C61C6"/>
    <w:rsid w:val="009C6A8D"/>
    <w:rsid w:val="009D358D"/>
    <w:rsid w:val="009D5B43"/>
    <w:rsid w:val="009D7A6F"/>
    <w:rsid w:val="009E2FAF"/>
    <w:rsid w:val="009E3251"/>
    <w:rsid w:val="00A0182E"/>
    <w:rsid w:val="00A040B2"/>
    <w:rsid w:val="00A065A4"/>
    <w:rsid w:val="00A1153E"/>
    <w:rsid w:val="00A134CA"/>
    <w:rsid w:val="00A13604"/>
    <w:rsid w:val="00A13912"/>
    <w:rsid w:val="00A2105A"/>
    <w:rsid w:val="00A23E74"/>
    <w:rsid w:val="00A24699"/>
    <w:rsid w:val="00A3251D"/>
    <w:rsid w:val="00A36E9D"/>
    <w:rsid w:val="00A406CB"/>
    <w:rsid w:val="00A44E5A"/>
    <w:rsid w:val="00A51B5D"/>
    <w:rsid w:val="00A52D40"/>
    <w:rsid w:val="00A546F6"/>
    <w:rsid w:val="00A54BE1"/>
    <w:rsid w:val="00A620AC"/>
    <w:rsid w:val="00A664E6"/>
    <w:rsid w:val="00A70C19"/>
    <w:rsid w:val="00A77099"/>
    <w:rsid w:val="00A8380C"/>
    <w:rsid w:val="00A8769D"/>
    <w:rsid w:val="00A93B72"/>
    <w:rsid w:val="00A972F2"/>
    <w:rsid w:val="00AA11DD"/>
    <w:rsid w:val="00AA1A13"/>
    <w:rsid w:val="00AA5A59"/>
    <w:rsid w:val="00AA6658"/>
    <w:rsid w:val="00AA6D25"/>
    <w:rsid w:val="00AA7A3B"/>
    <w:rsid w:val="00AB0E6C"/>
    <w:rsid w:val="00AB3A7B"/>
    <w:rsid w:val="00AB4DE1"/>
    <w:rsid w:val="00AC103F"/>
    <w:rsid w:val="00AC1C72"/>
    <w:rsid w:val="00AC3DC4"/>
    <w:rsid w:val="00AC412B"/>
    <w:rsid w:val="00AC57D2"/>
    <w:rsid w:val="00AC731B"/>
    <w:rsid w:val="00AD155D"/>
    <w:rsid w:val="00AD636A"/>
    <w:rsid w:val="00AE13E7"/>
    <w:rsid w:val="00AE6513"/>
    <w:rsid w:val="00AE6B8E"/>
    <w:rsid w:val="00AF1E29"/>
    <w:rsid w:val="00AF621A"/>
    <w:rsid w:val="00AF7B37"/>
    <w:rsid w:val="00B0423B"/>
    <w:rsid w:val="00B072E5"/>
    <w:rsid w:val="00B129BA"/>
    <w:rsid w:val="00B14317"/>
    <w:rsid w:val="00B164FC"/>
    <w:rsid w:val="00B16858"/>
    <w:rsid w:val="00B17C2A"/>
    <w:rsid w:val="00B20A30"/>
    <w:rsid w:val="00B24D43"/>
    <w:rsid w:val="00B2501A"/>
    <w:rsid w:val="00B34F8A"/>
    <w:rsid w:val="00B359E0"/>
    <w:rsid w:val="00B362FE"/>
    <w:rsid w:val="00B37DD8"/>
    <w:rsid w:val="00B42491"/>
    <w:rsid w:val="00B510F1"/>
    <w:rsid w:val="00B532D3"/>
    <w:rsid w:val="00B6395D"/>
    <w:rsid w:val="00B6449C"/>
    <w:rsid w:val="00B652F7"/>
    <w:rsid w:val="00B719B1"/>
    <w:rsid w:val="00B7458B"/>
    <w:rsid w:val="00B74826"/>
    <w:rsid w:val="00B77123"/>
    <w:rsid w:val="00B92B34"/>
    <w:rsid w:val="00B9413A"/>
    <w:rsid w:val="00BA4066"/>
    <w:rsid w:val="00BA5B6D"/>
    <w:rsid w:val="00BA71AB"/>
    <w:rsid w:val="00BB2AD0"/>
    <w:rsid w:val="00BB6704"/>
    <w:rsid w:val="00BB6844"/>
    <w:rsid w:val="00BC0DD1"/>
    <w:rsid w:val="00BC0E05"/>
    <w:rsid w:val="00BC142D"/>
    <w:rsid w:val="00BC25B6"/>
    <w:rsid w:val="00BD3594"/>
    <w:rsid w:val="00BD4F20"/>
    <w:rsid w:val="00BD7441"/>
    <w:rsid w:val="00BD7999"/>
    <w:rsid w:val="00BE0781"/>
    <w:rsid w:val="00BE1202"/>
    <w:rsid w:val="00BE257E"/>
    <w:rsid w:val="00BE25BA"/>
    <w:rsid w:val="00BF2DF9"/>
    <w:rsid w:val="00BF33AE"/>
    <w:rsid w:val="00BF3518"/>
    <w:rsid w:val="00BF72A8"/>
    <w:rsid w:val="00C03659"/>
    <w:rsid w:val="00C04917"/>
    <w:rsid w:val="00C0494D"/>
    <w:rsid w:val="00C05E6E"/>
    <w:rsid w:val="00C069EB"/>
    <w:rsid w:val="00C07781"/>
    <w:rsid w:val="00C07C38"/>
    <w:rsid w:val="00C11992"/>
    <w:rsid w:val="00C138C4"/>
    <w:rsid w:val="00C142D2"/>
    <w:rsid w:val="00C14BAD"/>
    <w:rsid w:val="00C16ABD"/>
    <w:rsid w:val="00C222A5"/>
    <w:rsid w:val="00C2314F"/>
    <w:rsid w:val="00C2376D"/>
    <w:rsid w:val="00C414F9"/>
    <w:rsid w:val="00C47C06"/>
    <w:rsid w:val="00C53A46"/>
    <w:rsid w:val="00C54633"/>
    <w:rsid w:val="00C55539"/>
    <w:rsid w:val="00C56B5E"/>
    <w:rsid w:val="00C571EF"/>
    <w:rsid w:val="00C66CA7"/>
    <w:rsid w:val="00C70307"/>
    <w:rsid w:val="00C71D7E"/>
    <w:rsid w:val="00C82D4B"/>
    <w:rsid w:val="00C85168"/>
    <w:rsid w:val="00C90688"/>
    <w:rsid w:val="00C97319"/>
    <w:rsid w:val="00CB26F3"/>
    <w:rsid w:val="00CC065F"/>
    <w:rsid w:val="00CC385C"/>
    <w:rsid w:val="00CC4231"/>
    <w:rsid w:val="00CC6A6F"/>
    <w:rsid w:val="00CD21B6"/>
    <w:rsid w:val="00CD2E3D"/>
    <w:rsid w:val="00CD452D"/>
    <w:rsid w:val="00CE1C5A"/>
    <w:rsid w:val="00CE3081"/>
    <w:rsid w:val="00CE73EB"/>
    <w:rsid w:val="00CF2789"/>
    <w:rsid w:val="00CF4C09"/>
    <w:rsid w:val="00CF53EB"/>
    <w:rsid w:val="00CF53F7"/>
    <w:rsid w:val="00CF5AA2"/>
    <w:rsid w:val="00CF7521"/>
    <w:rsid w:val="00D01A7E"/>
    <w:rsid w:val="00D12D98"/>
    <w:rsid w:val="00D139BB"/>
    <w:rsid w:val="00D205C3"/>
    <w:rsid w:val="00D21D9B"/>
    <w:rsid w:val="00D2675D"/>
    <w:rsid w:val="00D30D12"/>
    <w:rsid w:val="00D32531"/>
    <w:rsid w:val="00D32652"/>
    <w:rsid w:val="00D36995"/>
    <w:rsid w:val="00D4184F"/>
    <w:rsid w:val="00D43E8C"/>
    <w:rsid w:val="00D457F5"/>
    <w:rsid w:val="00D46A2D"/>
    <w:rsid w:val="00D511B4"/>
    <w:rsid w:val="00D52CBF"/>
    <w:rsid w:val="00D54F6F"/>
    <w:rsid w:val="00D61FC8"/>
    <w:rsid w:val="00D6481F"/>
    <w:rsid w:val="00D66C5A"/>
    <w:rsid w:val="00D755E3"/>
    <w:rsid w:val="00D76D76"/>
    <w:rsid w:val="00D83A03"/>
    <w:rsid w:val="00D850F3"/>
    <w:rsid w:val="00D8746A"/>
    <w:rsid w:val="00D875E5"/>
    <w:rsid w:val="00D9165D"/>
    <w:rsid w:val="00D92E2D"/>
    <w:rsid w:val="00D96846"/>
    <w:rsid w:val="00DA0B58"/>
    <w:rsid w:val="00DA227A"/>
    <w:rsid w:val="00DA4731"/>
    <w:rsid w:val="00DB06F3"/>
    <w:rsid w:val="00DB09B0"/>
    <w:rsid w:val="00DB35A1"/>
    <w:rsid w:val="00DB4F5A"/>
    <w:rsid w:val="00DB6C9E"/>
    <w:rsid w:val="00DD6B2A"/>
    <w:rsid w:val="00DD7CE4"/>
    <w:rsid w:val="00DE66DF"/>
    <w:rsid w:val="00DF0181"/>
    <w:rsid w:val="00DF104E"/>
    <w:rsid w:val="00DF2BE7"/>
    <w:rsid w:val="00DF4A14"/>
    <w:rsid w:val="00DF654B"/>
    <w:rsid w:val="00DF6EAD"/>
    <w:rsid w:val="00DF7FD7"/>
    <w:rsid w:val="00E13EAD"/>
    <w:rsid w:val="00E327A0"/>
    <w:rsid w:val="00E368FD"/>
    <w:rsid w:val="00E41A6D"/>
    <w:rsid w:val="00E507FA"/>
    <w:rsid w:val="00E5311A"/>
    <w:rsid w:val="00E5778B"/>
    <w:rsid w:val="00E6097C"/>
    <w:rsid w:val="00E67FDA"/>
    <w:rsid w:val="00E768B6"/>
    <w:rsid w:val="00E90EAE"/>
    <w:rsid w:val="00E94262"/>
    <w:rsid w:val="00E9695E"/>
    <w:rsid w:val="00EA14CD"/>
    <w:rsid w:val="00EA3715"/>
    <w:rsid w:val="00EA3BCE"/>
    <w:rsid w:val="00EB22DD"/>
    <w:rsid w:val="00EB3E24"/>
    <w:rsid w:val="00EB7626"/>
    <w:rsid w:val="00EC062E"/>
    <w:rsid w:val="00EC1149"/>
    <w:rsid w:val="00EC28BD"/>
    <w:rsid w:val="00EC51C7"/>
    <w:rsid w:val="00ED08FA"/>
    <w:rsid w:val="00ED6617"/>
    <w:rsid w:val="00EE23C2"/>
    <w:rsid w:val="00EE7375"/>
    <w:rsid w:val="00EF0800"/>
    <w:rsid w:val="00EF2363"/>
    <w:rsid w:val="00EF54CA"/>
    <w:rsid w:val="00EF7630"/>
    <w:rsid w:val="00F01439"/>
    <w:rsid w:val="00F0245D"/>
    <w:rsid w:val="00F0259A"/>
    <w:rsid w:val="00F0555A"/>
    <w:rsid w:val="00F20341"/>
    <w:rsid w:val="00F2107C"/>
    <w:rsid w:val="00F233F2"/>
    <w:rsid w:val="00F25A82"/>
    <w:rsid w:val="00F33569"/>
    <w:rsid w:val="00F3535E"/>
    <w:rsid w:val="00F42866"/>
    <w:rsid w:val="00F43AFF"/>
    <w:rsid w:val="00F43E0A"/>
    <w:rsid w:val="00F4526E"/>
    <w:rsid w:val="00F4564D"/>
    <w:rsid w:val="00F53230"/>
    <w:rsid w:val="00F5568D"/>
    <w:rsid w:val="00F56952"/>
    <w:rsid w:val="00F56D42"/>
    <w:rsid w:val="00F5793C"/>
    <w:rsid w:val="00F6397F"/>
    <w:rsid w:val="00F751CF"/>
    <w:rsid w:val="00F77BB0"/>
    <w:rsid w:val="00F81788"/>
    <w:rsid w:val="00F83F1B"/>
    <w:rsid w:val="00F911B4"/>
    <w:rsid w:val="00F93386"/>
    <w:rsid w:val="00F94EF6"/>
    <w:rsid w:val="00F96FBD"/>
    <w:rsid w:val="00FA410E"/>
    <w:rsid w:val="00FA4CE3"/>
    <w:rsid w:val="00FA6328"/>
    <w:rsid w:val="00FB13EE"/>
    <w:rsid w:val="00FB5261"/>
    <w:rsid w:val="00FB60C7"/>
    <w:rsid w:val="00FB6894"/>
    <w:rsid w:val="00FB73F5"/>
    <w:rsid w:val="00FC0753"/>
    <w:rsid w:val="00FC66BB"/>
    <w:rsid w:val="00FD0EE1"/>
    <w:rsid w:val="00FD5A37"/>
    <w:rsid w:val="00FD676D"/>
    <w:rsid w:val="00FD6EC1"/>
    <w:rsid w:val="00FD76EA"/>
    <w:rsid w:val="00FD7905"/>
    <w:rsid w:val="00FF67A6"/>
    <w:rsid w:val="00FF72C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5C37534-E4F7-4122-89A3-8C2C3896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AU" w:bidi="ar-SA"/>
      </w:rPr>
    </w:rPrDefault>
    <w:pPrDefault>
      <w:pPr>
        <w:spacing w:after="160" w:line="259" w:lineRule="auto"/>
      </w:pPr>
    </w:pPrDefault>
  </w:docDefaults>
  <w:latentStyles w:defLockedState="0" w:defUIPriority="0" w:defSemiHidden="0" w:defUnhideWhenUsed="0" w:defQFormat="0" w:count="375">
    <w:lsdException w:name="heading 3" w:semiHidden="1"/>
    <w:lsdException w:name="heading 4" w:semiHidden="1"/>
    <w:lsdException w:name="heading 5" w:semiHidden="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83F1B"/>
    <w:rPr>
      <w:rFonts w:ascii="Arial" w:hAnsi="Arial"/>
      <w:sz w:val="22"/>
    </w:rPr>
  </w:style>
  <w:style w:type="paragraph" w:styleId="Heading1">
    <w:name w:val="heading 1"/>
    <w:basedOn w:val="Normal"/>
    <w:next w:val="Normal"/>
    <w:link w:val="Heading1Char"/>
    <w:rsid w:val="00D52CBF"/>
    <w:pPr>
      <w:keepNext/>
      <w:outlineLvl w:val="0"/>
    </w:pPr>
    <w:rPr>
      <w:rFonts w:cs="Arial"/>
      <w:kern w:val="32"/>
      <w:sz w:val="34"/>
      <w:szCs w:val="22"/>
    </w:rPr>
  </w:style>
  <w:style w:type="paragraph" w:styleId="Heading2">
    <w:name w:val="heading 2"/>
    <w:basedOn w:val="Normal"/>
    <w:next w:val="Normal"/>
    <w:autoRedefine/>
    <w:rsid w:val="00D875E5"/>
    <w:pPr>
      <w:keepNext/>
      <w:spacing w:before="240" w:after="120"/>
      <w:outlineLvl w:val="1"/>
    </w:pPr>
    <w:rPr>
      <w:rFonts w:cs="Arial"/>
      <w:b/>
      <w:bCs/>
      <w:iCs/>
      <w:sz w:val="30"/>
      <w:szCs w:val="28"/>
    </w:rPr>
  </w:style>
  <w:style w:type="paragraph" w:styleId="Heading3">
    <w:name w:val="heading 3"/>
    <w:basedOn w:val="Normal"/>
    <w:next w:val="Normal"/>
    <w:rsid w:val="002C14E5"/>
    <w:pPr>
      <w:keepNext/>
      <w:outlineLvl w:val="2"/>
    </w:pPr>
    <w:rPr>
      <w:rFonts w:cs="Arial"/>
      <w:b/>
      <w:bCs/>
      <w:szCs w:val="26"/>
    </w:rPr>
  </w:style>
  <w:style w:type="paragraph" w:styleId="Heading4">
    <w:name w:val="heading 4"/>
    <w:basedOn w:val="Normal"/>
    <w:next w:val="Normal"/>
    <w:link w:val="Heading4Char"/>
    <w:rsid w:val="00C2376D"/>
    <w:pPr>
      <w:keepNext/>
      <w:spacing w:after="0"/>
      <w:ind w:left="709"/>
      <w:outlineLvl w:val="3"/>
    </w:pPr>
    <w:rPr>
      <w:rFonts w:ascii="Times New Roman" w:hAnsi="Times New Roman"/>
      <w:sz w:val="24"/>
      <w:szCs w:val="20"/>
      <w:u w:val="single"/>
      <w:lang w:eastAsia="en-US"/>
    </w:rPr>
  </w:style>
  <w:style w:type="paragraph" w:styleId="Heading5">
    <w:name w:val="heading 5"/>
    <w:aliases w:val="Block Label"/>
    <w:basedOn w:val="Normal"/>
    <w:next w:val="Normal"/>
    <w:link w:val="Heading5Char"/>
    <w:rsid w:val="00C2376D"/>
    <w:pPr>
      <w:spacing w:after="0"/>
      <w:outlineLvl w:val="4"/>
    </w:pPr>
    <w:rPr>
      <w:rFonts w:ascii="Times New Roman" w:hAnsi="Times New Roman"/>
      <w:b/>
      <w:szCs w:val="20"/>
      <w:lang w:val="en-US" w:eastAsia="en-US"/>
    </w:rPr>
  </w:style>
  <w:style w:type="paragraph" w:styleId="Heading6">
    <w:name w:val="heading 6"/>
    <w:basedOn w:val="Normal"/>
    <w:next w:val="Normal"/>
    <w:link w:val="Heading6Char"/>
    <w:rsid w:val="00C2376D"/>
    <w:pPr>
      <w:keepNext/>
      <w:spacing w:after="0"/>
      <w:outlineLvl w:val="5"/>
    </w:pPr>
    <w:rPr>
      <w:rFonts w:ascii="Times New Roman" w:hAnsi="Times New Roman"/>
      <w:b/>
      <w:sz w:val="28"/>
      <w:szCs w:val="20"/>
      <w:u w:val="single"/>
      <w:lang w:eastAsia="en-US"/>
    </w:rPr>
  </w:style>
  <w:style w:type="paragraph" w:styleId="Heading7">
    <w:name w:val="heading 7"/>
    <w:basedOn w:val="Normal"/>
    <w:next w:val="Normal"/>
    <w:link w:val="Heading7Char"/>
    <w:rsid w:val="00C2376D"/>
    <w:pPr>
      <w:keepNext/>
      <w:spacing w:after="0"/>
      <w:outlineLvl w:val="6"/>
    </w:pPr>
    <w:rPr>
      <w:rFonts w:ascii="Times New Roman" w:hAnsi="Times New Roman"/>
      <w:b/>
      <w:i/>
      <w:sz w:val="24"/>
      <w:szCs w:val="20"/>
      <w:lang w:eastAsia="en-US"/>
    </w:rPr>
  </w:style>
  <w:style w:type="paragraph" w:styleId="Heading8">
    <w:name w:val="heading 8"/>
    <w:basedOn w:val="Normal"/>
    <w:next w:val="Normal"/>
    <w:link w:val="Heading8Char"/>
    <w:unhideWhenUsed/>
    <w:rsid w:val="00C2376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2376D"/>
    <w:pPr>
      <w:keepNext/>
      <w:spacing w:after="0"/>
      <w:outlineLvl w:val="8"/>
    </w:pPr>
    <w:rPr>
      <w:rFonts w:ascii="Times New Roman" w:hAnsi="Times New Roman"/>
      <w:b/>
      <w:i/>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listlevel3">
    <w:name w:val="Policy list level 3"/>
    <w:basedOn w:val="Policybullet"/>
    <w:link w:val="Policylistlevel3Char"/>
    <w:qFormat/>
    <w:rsid w:val="003C7E2B"/>
    <w:pPr>
      <w:numPr>
        <w:numId w:val="0"/>
      </w:numPr>
    </w:pPr>
  </w:style>
  <w:style w:type="character" w:customStyle="1" w:styleId="Policylistlevel3Char">
    <w:name w:val="Policy list level 3 Char"/>
    <w:basedOn w:val="PolicybulletChar"/>
    <w:link w:val="Policylistlevel3"/>
    <w:rsid w:val="003C7E2B"/>
    <w:rPr>
      <w:rFonts w:ascii="HelveticaNeueLT Pro 45 Lt" w:hAnsi="HelveticaNeueLT Pro 45 Lt" w:cs="Arial"/>
      <w:sz w:val="20"/>
      <w:szCs w:val="20"/>
    </w:rPr>
  </w:style>
  <w:style w:type="paragraph" w:styleId="Header">
    <w:name w:val="header"/>
    <w:basedOn w:val="Normal"/>
    <w:link w:val="HeaderChar"/>
    <w:uiPriority w:val="99"/>
    <w:unhideWhenUsed/>
    <w:rsid w:val="00B16858"/>
    <w:pPr>
      <w:tabs>
        <w:tab w:val="center" w:pos="4513"/>
        <w:tab w:val="right" w:pos="9026"/>
      </w:tabs>
      <w:spacing w:after="0"/>
    </w:pPr>
  </w:style>
  <w:style w:type="character" w:customStyle="1" w:styleId="HeaderChar">
    <w:name w:val="Header Char"/>
    <w:basedOn w:val="DefaultParagraphFont"/>
    <w:link w:val="Header"/>
    <w:uiPriority w:val="99"/>
    <w:rsid w:val="00B16858"/>
    <w:rPr>
      <w:rFonts w:ascii="Arial" w:hAnsi="Arial"/>
      <w:sz w:val="22"/>
    </w:rPr>
  </w:style>
  <w:style w:type="paragraph" w:styleId="Footer">
    <w:name w:val="footer"/>
    <w:basedOn w:val="Normal"/>
    <w:link w:val="FooterChar"/>
    <w:unhideWhenUsed/>
    <w:rsid w:val="00B16858"/>
    <w:pPr>
      <w:tabs>
        <w:tab w:val="center" w:pos="4513"/>
        <w:tab w:val="right" w:pos="9026"/>
      </w:tabs>
      <w:spacing w:after="0"/>
    </w:pPr>
  </w:style>
  <w:style w:type="character" w:customStyle="1" w:styleId="FooterChar">
    <w:name w:val="Footer Char"/>
    <w:basedOn w:val="DefaultParagraphFont"/>
    <w:link w:val="Footer"/>
    <w:rsid w:val="00B16858"/>
    <w:rPr>
      <w:rFonts w:ascii="Arial" w:hAnsi="Arial"/>
      <w:sz w:val="22"/>
    </w:rPr>
  </w:style>
  <w:style w:type="character" w:styleId="Hyperlink">
    <w:name w:val="Hyperlink"/>
    <w:basedOn w:val="DefaultParagraphFont"/>
    <w:uiPriority w:val="99"/>
    <w:qFormat/>
    <w:rsid w:val="00B16858"/>
    <w:rPr>
      <w:color w:val="0000FF"/>
      <w:sz w:val="16"/>
      <w:u w:val="single"/>
    </w:rPr>
  </w:style>
  <w:style w:type="paragraph" w:customStyle="1" w:styleId="T1">
    <w:name w:val="T1"/>
    <w:basedOn w:val="Heading1"/>
    <w:rsid w:val="00433746"/>
    <w:rPr>
      <w:szCs w:val="34"/>
    </w:rPr>
  </w:style>
  <w:style w:type="paragraph" w:customStyle="1" w:styleId="T2">
    <w:name w:val="T2"/>
    <w:basedOn w:val="T1"/>
    <w:rsid w:val="00433746"/>
    <w:rPr>
      <w:color w:val="455560"/>
      <w:sz w:val="30"/>
      <w:szCs w:val="30"/>
    </w:rPr>
  </w:style>
  <w:style w:type="paragraph" w:customStyle="1" w:styleId="T3">
    <w:name w:val="T3"/>
    <w:basedOn w:val="T2"/>
    <w:rsid w:val="00433746"/>
    <w:rPr>
      <w:i/>
      <w:color w:val="596E7D"/>
      <w:sz w:val="26"/>
    </w:rPr>
  </w:style>
  <w:style w:type="table" w:styleId="TableGrid">
    <w:name w:val="Table Grid"/>
    <w:basedOn w:val="TableNormal"/>
    <w:rsid w:val="00C11992"/>
    <w:pPr>
      <w:tabs>
        <w:tab w:val="left" w:pos="720"/>
      </w:tabs>
      <w:spacing w:after="240"/>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semiHidden/>
    <w:rsid w:val="00C2376D"/>
    <w:rPr>
      <w:rFonts w:asciiTheme="majorHAnsi" w:eastAsiaTheme="majorEastAsia" w:hAnsiTheme="majorHAnsi" w:cstheme="majorBidi"/>
      <w:color w:val="404040" w:themeColor="text1" w:themeTint="BF"/>
    </w:rPr>
  </w:style>
  <w:style w:type="character" w:customStyle="1" w:styleId="Heading4Char">
    <w:name w:val="Heading 4 Char"/>
    <w:basedOn w:val="DefaultParagraphFont"/>
    <w:link w:val="Heading4"/>
    <w:rsid w:val="00C2376D"/>
    <w:rPr>
      <w:sz w:val="24"/>
      <w:u w:val="single"/>
      <w:lang w:eastAsia="en-US"/>
    </w:rPr>
  </w:style>
  <w:style w:type="character" w:customStyle="1" w:styleId="Heading5Char">
    <w:name w:val="Heading 5 Char"/>
    <w:aliases w:val="Block Label Char"/>
    <w:basedOn w:val="DefaultParagraphFont"/>
    <w:link w:val="Heading5"/>
    <w:rsid w:val="00C2376D"/>
    <w:rPr>
      <w:b/>
      <w:sz w:val="22"/>
      <w:lang w:val="en-US" w:eastAsia="en-US"/>
    </w:rPr>
  </w:style>
  <w:style w:type="character" w:customStyle="1" w:styleId="Heading6Char">
    <w:name w:val="Heading 6 Char"/>
    <w:basedOn w:val="DefaultParagraphFont"/>
    <w:link w:val="Heading6"/>
    <w:rsid w:val="00C2376D"/>
    <w:rPr>
      <w:b/>
      <w:sz w:val="28"/>
      <w:u w:val="single"/>
      <w:lang w:eastAsia="en-US"/>
    </w:rPr>
  </w:style>
  <w:style w:type="character" w:customStyle="1" w:styleId="Heading7Char">
    <w:name w:val="Heading 7 Char"/>
    <w:basedOn w:val="DefaultParagraphFont"/>
    <w:link w:val="Heading7"/>
    <w:rsid w:val="00C2376D"/>
    <w:rPr>
      <w:b/>
      <w:i/>
      <w:sz w:val="24"/>
      <w:lang w:eastAsia="en-US"/>
    </w:rPr>
  </w:style>
  <w:style w:type="character" w:customStyle="1" w:styleId="Heading9Char">
    <w:name w:val="Heading 9 Char"/>
    <w:basedOn w:val="DefaultParagraphFont"/>
    <w:link w:val="Heading9"/>
    <w:rsid w:val="00C2376D"/>
    <w:rPr>
      <w:b/>
      <w:i/>
      <w:sz w:val="24"/>
      <w:lang w:eastAsia="en-US"/>
    </w:rPr>
  </w:style>
  <w:style w:type="paragraph" w:customStyle="1" w:styleId="TableText">
    <w:name w:val="Table Text"/>
    <w:basedOn w:val="Normal"/>
    <w:rsid w:val="00B16858"/>
    <w:rPr>
      <w:rFonts w:ascii="HelveticaNeueLT Pro 45 Lt" w:hAnsi="HelveticaNeueLT Pro 45 Lt"/>
      <w:sz w:val="20"/>
      <w:szCs w:val="20"/>
      <w:lang w:val="en-US" w:eastAsia="en-US"/>
    </w:rPr>
  </w:style>
  <w:style w:type="character" w:styleId="CommentReference">
    <w:name w:val="annotation reference"/>
    <w:basedOn w:val="DefaultParagraphFont"/>
    <w:semiHidden/>
    <w:unhideWhenUsed/>
    <w:rsid w:val="00C04917"/>
    <w:rPr>
      <w:sz w:val="16"/>
      <w:szCs w:val="16"/>
    </w:rPr>
  </w:style>
  <w:style w:type="paragraph" w:styleId="CommentText">
    <w:name w:val="annotation text"/>
    <w:basedOn w:val="Normal"/>
    <w:link w:val="CommentTextChar"/>
    <w:semiHidden/>
    <w:unhideWhenUsed/>
    <w:rsid w:val="00C04917"/>
    <w:rPr>
      <w:sz w:val="20"/>
      <w:szCs w:val="20"/>
    </w:rPr>
  </w:style>
  <w:style w:type="character" w:customStyle="1" w:styleId="CommentTextChar">
    <w:name w:val="Comment Text Char"/>
    <w:basedOn w:val="DefaultParagraphFont"/>
    <w:link w:val="CommentText"/>
    <w:semiHidden/>
    <w:rsid w:val="00C04917"/>
    <w:rPr>
      <w:rFonts w:ascii="Arial" w:hAnsi="Arial"/>
    </w:rPr>
  </w:style>
  <w:style w:type="paragraph" w:styleId="CommentSubject">
    <w:name w:val="annotation subject"/>
    <w:basedOn w:val="CommentText"/>
    <w:next w:val="CommentText"/>
    <w:link w:val="CommentSubjectChar"/>
    <w:semiHidden/>
    <w:unhideWhenUsed/>
    <w:rsid w:val="00C04917"/>
    <w:rPr>
      <w:b/>
      <w:bCs/>
    </w:rPr>
  </w:style>
  <w:style w:type="character" w:customStyle="1" w:styleId="CommentSubjectChar">
    <w:name w:val="Comment Subject Char"/>
    <w:basedOn w:val="CommentTextChar"/>
    <w:link w:val="CommentSubject"/>
    <w:semiHidden/>
    <w:rsid w:val="00C04917"/>
    <w:rPr>
      <w:rFonts w:ascii="Arial" w:hAnsi="Arial"/>
      <w:b/>
      <w:bCs/>
    </w:rPr>
  </w:style>
  <w:style w:type="paragraph" w:styleId="NormalWeb">
    <w:name w:val="Normal (Web)"/>
    <w:basedOn w:val="Normal"/>
    <w:uiPriority w:val="99"/>
    <w:semiHidden/>
    <w:unhideWhenUsed/>
    <w:rsid w:val="00344837"/>
    <w:pPr>
      <w:spacing w:before="100" w:beforeAutospacing="1" w:after="100" w:afterAutospacing="1"/>
    </w:pPr>
    <w:rPr>
      <w:rFonts w:ascii="Times New Roman" w:eastAsiaTheme="minorEastAsia" w:hAnsi="Times New Roman"/>
      <w:sz w:val="24"/>
      <w:lang w:eastAsia="en-US"/>
    </w:rPr>
  </w:style>
  <w:style w:type="paragraph" w:styleId="Revision">
    <w:name w:val="Revision"/>
    <w:hidden/>
    <w:uiPriority w:val="99"/>
    <w:semiHidden/>
    <w:rsid w:val="001D0F85"/>
    <w:rPr>
      <w:rFonts w:ascii="Arial" w:hAnsi="Arial"/>
      <w:sz w:val="22"/>
    </w:rPr>
  </w:style>
  <w:style w:type="character" w:styleId="PlaceholderText">
    <w:name w:val="Placeholder Text"/>
    <w:basedOn w:val="DefaultParagraphFont"/>
    <w:semiHidden/>
    <w:rsid w:val="00D96846"/>
    <w:rPr>
      <w:color w:val="808080"/>
    </w:rPr>
  </w:style>
  <w:style w:type="paragraph" w:customStyle="1" w:styleId="Policylistlevel1">
    <w:name w:val="Policy list level 1"/>
    <w:basedOn w:val="Normal"/>
    <w:link w:val="Policylistlevel1Char"/>
    <w:qFormat/>
    <w:rsid w:val="001D1FB3"/>
    <w:rPr>
      <w:rFonts w:ascii="HelveticaNeueLT Pro 45 Lt" w:hAnsi="HelveticaNeueLT Pro 45 Lt"/>
      <w:sz w:val="20"/>
    </w:rPr>
  </w:style>
  <w:style w:type="paragraph" w:customStyle="1" w:styleId="Policylistlevel2">
    <w:name w:val="Policy list level 2"/>
    <w:basedOn w:val="Normal"/>
    <w:link w:val="Policylistlevel2Char"/>
    <w:qFormat/>
    <w:rsid w:val="005A235D"/>
    <w:rPr>
      <w:rFonts w:ascii="HelveticaNeueLT Pro 45 Lt" w:hAnsi="HelveticaNeueLT Pro 45 Lt"/>
      <w:sz w:val="20"/>
    </w:rPr>
  </w:style>
  <w:style w:type="paragraph" w:customStyle="1" w:styleId="Policynumberedheading">
    <w:name w:val="Policy numbered heading"/>
    <w:basedOn w:val="Normal"/>
    <w:link w:val="PolicynumberedheadingChar"/>
    <w:qFormat/>
    <w:rsid w:val="005A235D"/>
    <w:pPr>
      <w:spacing w:before="240" w:after="240"/>
    </w:pPr>
    <w:rPr>
      <w:rFonts w:ascii="Museo 300" w:hAnsi="Museo 300" w:cs="Arial"/>
      <w:sz w:val="32"/>
      <w:szCs w:val="20"/>
    </w:rPr>
  </w:style>
  <w:style w:type="paragraph" w:customStyle="1" w:styleId="Policyheading">
    <w:name w:val="Policy heading"/>
    <w:basedOn w:val="Heading1"/>
    <w:link w:val="PolicyheadingChar"/>
    <w:qFormat/>
    <w:rsid w:val="00EC062E"/>
    <w:pPr>
      <w:spacing w:before="240" w:after="240"/>
    </w:pPr>
    <w:rPr>
      <w:rFonts w:ascii="Museo 300" w:hAnsi="Museo 300"/>
      <w:sz w:val="32"/>
      <w:szCs w:val="32"/>
    </w:rPr>
  </w:style>
  <w:style w:type="character" w:customStyle="1" w:styleId="PolicynumberedheadingChar">
    <w:name w:val="Policy numbered heading Char"/>
    <w:basedOn w:val="DefaultParagraphFont"/>
    <w:link w:val="Policynumberedheading"/>
    <w:rsid w:val="005A235D"/>
    <w:rPr>
      <w:rFonts w:ascii="Museo 300" w:hAnsi="Museo 300" w:cs="Arial"/>
      <w:sz w:val="32"/>
      <w:szCs w:val="20"/>
    </w:rPr>
  </w:style>
  <w:style w:type="paragraph" w:customStyle="1" w:styleId="Policybullet">
    <w:name w:val="Policy bullet"/>
    <w:basedOn w:val="Normal"/>
    <w:link w:val="PolicybulletChar"/>
    <w:qFormat/>
    <w:rsid w:val="003C7E2B"/>
    <w:pPr>
      <w:numPr>
        <w:numId w:val="13"/>
      </w:numPr>
      <w:ind w:left="1134"/>
    </w:pPr>
    <w:rPr>
      <w:rFonts w:ascii="HelveticaNeueLT Pro 45 Lt" w:hAnsi="HelveticaNeueLT Pro 45 Lt" w:cs="Arial"/>
      <w:sz w:val="20"/>
      <w:szCs w:val="20"/>
    </w:rPr>
  </w:style>
  <w:style w:type="character" w:customStyle="1" w:styleId="Heading1Char">
    <w:name w:val="Heading 1 Char"/>
    <w:basedOn w:val="DefaultParagraphFont"/>
    <w:link w:val="Heading1"/>
    <w:rsid w:val="00643FF9"/>
    <w:rPr>
      <w:rFonts w:ascii="Arial" w:hAnsi="Arial" w:cs="Arial"/>
      <w:kern w:val="32"/>
      <w:sz w:val="34"/>
      <w:szCs w:val="22"/>
    </w:rPr>
  </w:style>
  <w:style w:type="character" w:customStyle="1" w:styleId="PolicyheadingChar">
    <w:name w:val="Policy heading Char"/>
    <w:basedOn w:val="Heading1Char"/>
    <w:link w:val="Policyheading"/>
    <w:rsid w:val="00EC062E"/>
    <w:rPr>
      <w:rFonts w:ascii="Museo 300" w:hAnsi="Museo 300" w:cs="Arial"/>
      <w:kern w:val="32"/>
      <w:sz w:val="32"/>
      <w:szCs w:val="32"/>
    </w:rPr>
  </w:style>
  <w:style w:type="character" w:customStyle="1" w:styleId="Policylistlevel1Char">
    <w:name w:val="Policy list level 1 Char"/>
    <w:basedOn w:val="DefaultParagraphFont"/>
    <w:link w:val="Policylistlevel1"/>
    <w:rsid w:val="001D1FB3"/>
    <w:rPr>
      <w:rFonts w:ascii="HelveticaNeueLT Pro 45 Lt" w:hAnsi="HelveticaNeueLT Pro 45 Lt"/>
      <w:sz w:val="20"/>
    </w:rPr>
  </w:style>
  <w:style w:type="character" w:customStyle="1" w:styleId="Policylistlevel2Char">
    <w:name w:val="Policy list level 2 Char"/>
    <w:basedOn w:val="DefaultParagraphFont"/>
    <w:link w:val="Policylistlevel2"/>
    <w:rsid w:val="005A235D"/>
    <w:rPr>
      <w:rFonts w:ascii="HelveticaNeueLT Pro 45 Lt" w:hAnsi="HelveticaNeueLT Pro 45 Lt"/>
      <w:sz w:val="20"/>
    </w:rPr>
  </w:style>
  <w:style w:type="character" w:customStyle="1" w:styleId="PolicybulletChar">
    <w:name w:val="Policy bullet Char"/>
    <w:basedOn w:val="DefaultParagraphFont"/>
    <w:link w:val="Policybullet"/>
    <w:rsid w:val="003C7E2B"/>
    <w:rPr>
      <w:rFonts w:ascii="HelveticaNeueLT Pro 45 Lt" w:hAnsi="HelveticaNeueLT Pro 45 Lt" w:cs="Arial"/>
      <w:sz w:val="20"/>
      <w:szCs w:val="20"/>
    </w:rPr>
  </w:style>
  <w:style w:type="paragraph" w:customStyle="1" w:styleId="Policybodytext">
    <w:name w:val="Policy body text"/>
    <w:basedOn w:val="Normal"/>
    <w:link w:val="PolicybodytextChar"/>
    <w:qFormat/>
    <w:rsid w:val="00CE3081"/>
    <w:rPr>
      <w:rFonts w:ascii="HelveticaNeueLT Pro 45 Lt" w:hAnsi="HelveticaNeueLT Pro 45 Lt"/>
      <w:sz w:val="20"/>
    </w:rPr>
  </w:style>
  <w:style w:type="paragraph" w:customStyle="1" w:styleId="Policytitle">
    <w:name w:val="Policy title"/>
    <w:basedOn w:val="Normal"/>
    <w:link w:val="PolicytitleChar"/>
    <w:qFormat/>
    <w:rsid w:val="005A235D"/>
    <w:pPr>
      <w:spacing w:before="240" w:after="240"/>
    </w:pPr>
    <w:rPr>
      <w:rFonts w:ascii="Museo 700" w:hAnsi="Museo 700"/>
      <w:sz w:val="40"/>
    </w:rPr>
  </w:style>
  <w:style w:type="character" w:customStyle="1" w:styleId="PolicybodytextChar">
    <w:name w:val="Policy body text Char"/>
    <w:basedOn w:val="DefaultParagraphFont"/>
    <w:link w:val="Policybodytext"/>
    <w:rsid w:val="00CE3081"/>
    <w:rPr>
      <w:rFonts w:ascii="HelveticaNeueLT Pro 45 Lt" w:hAnsi="HelveticaNeueLT Pro 45 Lt"/>
      <w:sz w:val="20"/>
    </w:rPr>
  </w:style>
  <w:style w:type="character" w:customStyle="1" w:styleId="PolicytitleChar">
    <w:name w:val="Policy title Char"/>
    <w:basedOn w:val="DefaultParagraphFont"/>
    <w:link w:val="Policytitle"/>
    <w:rsid w:val="005A235D"/>
    <w:rPr>
      <w:rFonts w:ascii="Museo 700" w:hAnsi="Museo 700"/>
      <w:color w:val="596E7D"/>
      <w:sz w:val="40"/>
    </w:rPr>
  </w:style>
  <w:style w:type="character" w:customStyle="1" w:styleId="Policycontact">
    <w:name w:val="Policy contact"/>
    <w:basedOn w:val="Hyperlink"/>
    <w:uiPriority w:val="1"/>
    <w:rsid w:val="00E41A6D"/>
    <w:rPr>
      <w:rFonts w:ascii="HelveticaNeueLT Pro 45 Lt" w:hAnsi="HelveticaNeueLT Pro 45 Lt"/>
      <w:color w:val="0000FF"/>
      <w:sz w:val="20"/>
      <w:u w:val="single"/>
    </w:rPr>
  </w:style>
  <w:style w:type="paragraph" w:customStyle="1" w:styleId="FAQheading">
    <w:name w:val="FAQ heading"/>
    <w:basedOn w:val="Policynumberedheading"/>
    <w:link w:val="FAQheadingChar"/>
    <w:qFormat/>
    <w:rsid w:val="00BB6844"/>
    <w:rPr>
      <w:sz w:val="24"/>
      <w:szCs w:val="24"/>
    </w:rPr>
  </w:style>
  <w:style w:type="character" w:customStyle="1" w:styleId="FAQheadingChar">
    <w:name w:val="FAQ heading Char"/>
    <w:basedOn w:val="PolicynumberedheadingChar"/>
    <w:link w:val="FAQheading"/>
    <w:rsid w:val="00BB6844"/>
    <w:rPr>
      <w:rFonts w:ascii="Museo 300" w:hAnsi="Museo 300" w:cs="Arial"/>
      <w:sz w:val="32"/>
      <w:szCs w:val="20"/>
    </w:rPr>
  </w:style>
  <w:style w:type="paragraph" w:styleId="BalloonText">
    <w:name w:val="Balloon Text"/>
    <w:basedOn w:val="Normal"/>
    <w:link w:val="BalloonTextChar"/>
    <w:semiHidden/>
    <w:unhideWhenUsed/>
    <w:rsid w:val="00D12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12D98"/>
    <w:rPr>
      <w:rFonts w:ascii="Segoe UI" w:hAnsi="Segoe UI" w:cs="Segoe UI"/>
      <w:sz w:val="18"/>
      <w:szCs w:val="18"/>
    </w:rPr>
  </w:style>
  <w:style w:type="paragraph" w:styleId="ListParagraph">
    <w:name w:val="List Paragraph"/>
    <w:basedOn w:val="Normal"/>
    <w:rsid w:val="009A5546"/>
    <w:pPr>
      <w:ind w:left="720"/>
      <w:contextualSpacing/>
    </w:pPr>
  </w:style>
  <w:style w:type="paragraph" w:styleId="TOCHeading">
    <w:name w:val="TOC Heading"/>
    <w:basedOn w:val="Heading1"/>
    <w:next w:val="Normal"/>
    <w:uiPriority w:val="39"/>
    <w:unhideWhenUsed/>
    <w:qFormat/>
    <w:rsid w:val="00631917"/>
    <w:pPr>
      <w:keepLines/>
      <w:spacing w:before="240" w:after="0"/>
      <w:outlineLvl w:val="9"/>
    </w:pPr>
    <w:rPr>
      <w:rFonts w:asciiTheme="majorHAnsi" w:eastAsiaTheme="majorEastAsia" w:hAnsiTheme="majorHAnsi" w:cstheme="majorBidi"/>
      <w:color w:val="365F91" w:themeColor="accent1" w:themeShade="BF"/>
      <w:kern w:val="0"/>
      <w:sz w:val="32"/>
      <w:szCs w:val="32"/>
      <w:lang w:val="en-US" w:eastAsia="en-US"/>
    </w:rPr>
  </w:style>
  <w:style w:type="paragraph" w:styleId="TOC1">
    <w:name w:val="toc 1"/>
    <w:basedOn w:val="Normal"/>
    <w:next w:val="Normal"/>
    <w:autoRedefine/>
    <w:uiPriority w:val="39"/>
    <w:unhideWhenUsed/>
    <w:rsid w:val="0063191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326548">
      <w:bodyDiv w:val="1"/>
      <w:marLeft w:val="0"/>
      <w:marRight w:val="0"/>
      <w:marTop w:val="0"/>
      <w:marBottom w:val="0"/>
      <w:divBdr>
        <w:top w:val="none" w:sz="0" w:space="0" w:color="auto"/>
        <w:left w:val="none" w:sz="0" w:space="0" w:color="auto"/>
        <w:bottom w:val="none" w:sz="0" w:space="0" w:color="auto"/>
        <w:right w:val="none" w:sz="0" w:space="0" w:color="auto"/>
      </w:divBdr>
    </w:div>
    <w:div w:id="8706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mit.edu.au/polici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mit.edu.au/polic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1361\Desktop\Policy%20files\Resource%20template%20MAS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1EC0C5ECD40B1A1C0940FC966B19C"/>
        <w:category>
          <w:name w:val="General"/>
          <w:gallery w:val="placeholder"/>
        </w:category>
        <w:types>
          <w:type w:val="bbPlcHdr"/>
        </w:types>
        <w:behaviors>
          <w:behavior w:val="content"/>
        </w:behaviors>
        <w:guid w:val="{03644A9A-703E-4AAF-89A7-88A9D710DFED}"/>
      </w:docPartPr>
      <w:docPartBody>
        <w:p w:rsidR="00497276" w:rsidRDefault="00790AAD">
          <w:pPr>
            <w:pStyle w:val="D0C1EC0C5ECD40B1A1C0940FC966B19C"/>
          </w:pPr>
          <w:r w:rsidRPr="00A158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HelveticaNeueLT Pro 45 Lt">
    <w:panose1 w:val="020B0403020202020204"/>
    <w:charset w:val="00"/>
    <w:family w:val="swiss"/>
    <w:notTrueType/>
    <w:pitch w:val="variable"/>
    <w:sig w:usb0="800000AF" w:usb1="5000204A" w:usb2="00000000" w:usb3="00000000" w:csb0="0000009B" w:csb1="00000000"/>
  </w:font>
  <w:font w:name="Museo 300">
    <w:panose1 w:val="02000000000000000000"/>
    <w:charset w:val="00"/>
    <w:family w:val="auto"/>
    <w:pitch w:val="variable"/>
    <w:sig w:usb0="A00000AF" w:usb1="4000004A" w:usb2="00000000" w:usb3="00000000" w:csb0="00000093" w:csb1="00000000"/>
  </w:font>
  <w:font w:name="Museo 700">
    <w:panose1 w:val="02000000000000000000"/>
    <w:charset w:val="00"/>
    <w:family w:val="auto"/>
    <w:pitch w:val="variable"/>
    <w:sig w:usb0="A00000AF" w:usb1="4000004A" w:usb2="00000000" w:usb3="00000000" w:csb0="00000093"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AD"/>
    <w:rsid w:val="00497276"/>
    <w:rsid w:val="00790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90AAD"/>
    <w:rPr>
      <w:color w:val="808080"/>
    </w:rPr>
  </w:style>
  <w:style w:type="paragraph" w:customStyle="1" w:styleId="D0C1EC0C5ECD40B1A1C0940FC966B19C">
    <w:name w:val="D0C1EC0C5ECD40B1A1C0940FC966B19C"/>
  </w:style>
  <w:style w:type="paragraph" w:customStyle="1" w:styleId="5463743BDDCA4170A929020F377BBBBF">
    <w:name w:val="5463743BDDCA4170A929020F377BBBBF"/>
    <w:rsid w:val="00790AAD"/>
  </w:style>
  <w:style w:type="paragraph" w:customStyle="1" w:styleId="D23C461E1FBB429C9777A6D24627E958">
    <w:name w:val="D23C461E1FBB429C9777A6D24627E958"/>
    <w:rsid w:val="00790AAD"/>
  </w:style>
  <w:style w:type="paragraph" w:customStyle="1" w:styleId="9E79ED902F7C420CB018AB9B0D9AEFB1">
    <w:name w:val="9E79ED902F7C420CB018AB9B0D9AEFB1"/>
    <w:rsid w:val="00790AAD"/>
  </w:style>
  <w:style w:type="paragraph" w:customStyle="1" w:styleId="2EE714EEBD7D4E0D9FDE029DD332B48A">
    <w:name w:val="2EE714EEBD7D4E0D9FDE029DD332B48A"/>
    <w:rsid w:val="00790AAD"/>
  </w:style>
  <w:style w:type="paragraph" w:customStyle="1" w:styleId="E164DB2A1AF049789A69686756459C63">
    <w:name w:val="E164DB2A1AF049789A69686756459C63"/>
    <w:rsid w:val="00790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53B81C5A26BF4DA8532D592B0DC5CE" ma:contentTypeVersion="6" ma:contentTypeDescription="Create a new document." ma:contentTypeScope="" ma:versionID="5a41a17645914d2ceee05d8d4af9344e">
  <xsd:schema xmlns:xsd="http://www.w3.org/2001/XMLSchema" xmlns:xs="http://www.w3.org/2001/XMLSchema" xmlns:p="http://schemas.microsoft.com/office/2006/metadata/properties" xmlns:ns2="6d42c9a7-4ab0-43b7-8241-81c24fef15df" xmlns:ns3="29ca0015-3749-4c6c-a489-e88dccea2bc8" targetNamespace="http://schemas.microsoft.com/office/2006/metadata/properties" ma:root="true" ma:fieldsID="3f1efc7f6b16c1c80410f99bc6c0dce7" ns2:_="" ns3:_="">
    <xsd:import namespace="6d42c9a7-4ab0-43b7-8241-81c24fef15df"/>
    <xsd:import namespace="29ca0015-3749-4c6c-a489-e88dccea2b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9a7-4ab0-43b7-8241-81c24fef15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a0015-3749-4c6c-a489-e88dccea2b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89BAC-0694-4B0A-AB4E-A52EE52727E4}">
  <ds:schemaRefs>
    <ds:schemaRef ds:uri="http://schemas.openxmlformats.org/officeDocument/2006/bibliography"/>
  </ds:schemaRefs>
</ds:datastoreItem>
</file>

<file path=customXml/itemProps2.xml><?xml version="1.0" encoding="utf-8"?>
<ds:datastoreItem xmlns:ds="http://schemas.openxmlformats.org/officeDocument/2006/customXml" ds:itemID="{C06DEAD3-8706-4A83-A0FA-FAE685807A91}"/>
</file>

<file path=customXml/itemProps3.xml><?xml version="1.0" encoding="utf-8"?>
<ds:datastoreItem xmlns:ds="http://schemas.openxmlformats.org/officeDocument/2006/customXml" ds:itemID="{184D8642-83BF-41DA-B532-1E9C6CDB29FB}"/>
</file>

<file path=customXml/itemProps4.xml><?xml version="1.0" encoding="utf-8"?>
<ds:datastoreItem xmlns:ds="http://schemas.openxmlformats.org/officeDocument/2006/customXml" ds:itemID="{E09DA892-E30F-481B-984E-60FC0C41311D}"/>
</file>

<file path=docProps/app.xml><?xml version="1.0" encoding="utf-8"?>
<Properties xmlns="http://schemas.openxmlformats.org/officeDocument/2006/extended-properties" xmlns:vt="http://schemas.openxmlformats.org/officeDocument/2006/docPropsVTypes">
  <Template>Resource template MASTER.dotx</Template>
  <TotalTime>0</TotalTime>
  <Pages>13</Pages>
  <Words>2527</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Silluzio</dc:creator>
  <cp:keywords>policy, procedure, resource</cp:keywords>
  <cp:lastModifiedBy>Pamela Silluzio</cp:lastModifiedBy>
  <cp:revision>2</cp:revision>
  <cp:lastPrinted>2018-06-21T10:21:00Z</cp:lastPrinted>
  <dcterms:created xsi:type="dcterms:W3CDTF">2020-02-18T22:28:00Z</dcterms:created>
  <dcterms:modified xsi:type="dcterms:W3CDTF">2020-02-18T22:28:00Z</dcterms:modified>
  <cp:category>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Title">
    <vt:lpwstr>Report / Business plan template</vt:lpwstr>
  </property>
  <property fmtid="{D5CDD505-2E9C-101B-9397-08002B2CF9AE}" pid="3" name="AWB_Group">
    <vt:lpwstr>Landmark</vt:lpwstr>
  </property>
  <property fmtid="{D5CDD505-2E9C-101B-9397-08002B2CF9AE}" pid="4" name="Cover_Date">
    <vt:lpwstr>[Date]</vt:lpwstr>
  </property>
  <property fmtid="{D5CDD505-2E9C-101B-9397-08002B2CF9AE}" pid="5" name="DocType">
    <vt:lpwstr>Internal document - Unrestricted access</vt:lpwstr>
  </property>
  <property fmtid="{D5CDD505-2E9C-101B-9397-08002B2CF9AE}" pid="6" name="ContentTypeId">
    <vt:lpwstr>0x010100DE53B81C5A26BF4DA8532D592B0DC5CE</vt:lpwstr>
  </property>
</Properties>
</file>